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B743" w14:textId="2D99C55C" w:rsidR="00EC46DB" w:rsidRPr="00EC46DB" w:rsidRDefault="000E7E5C" w:rsidP="00973123">
      <w:pPr>
        <w:pStyle w:val="Heading1"/>
        <w:spacing w:before="0"/>
      </w:pPr>
      <w:r w:rsidRPr="00EC46DB">
        <w:t xml:space="preserve">Health &amp; Well-Being </w:t>
      </w:r>
      <w:r w:rsidR="00753D57">
        <w:t>Webinar</w:t>
      </w:r>
      <w:r w:rsidR="00D43EE9">
        <w:t xml:space="preserve"> Tip Sheet</w:t>
      </w:r>
    </w:p>
    <w:p w14:paraId="1215F7E1" w14:textId="5B941C40" w:rsidR="00087636" w:rsidRPr="00973123" w:rsidRDefault="00A45C90" w:rsidP="00A45C90">
      <w:pPr>
        <w:rPr>
          <w:rFonts w:cs="Arial"/>
          <w:color w:val="0070C0"/>
        </w:rPr>
      </w:pPr>
      <w:r w:rsidRPr="00973123">
        <w:rPr>
          <w:rFonts w:cs="Arial"/>
        </w:rPr>
        <w:t>Note: The following information is from a March 2021 ACL webinar series, Nutrition, Socialization, and Health &amp; Well-Being.</w:t>
      </w:r>
      <w:r w:rsidR="00142040" w:rsidRPr="00973123">
        <w:rPr>
          <w:rFonts w:cs="Arial"/>
        </w:rPr>
        <w:t xml:space="preserve"> To view the webinars, visit </w:t>
      </w:r>
      <w:hyperlink r:id="rId10" w:history="1">
        <w:r w:rsidR="00087636" w:rsidRPr="00973123">
          <w:rPr>
            <w:rStyle w:val="Hyperlink"/>
            <w:rFonts w:cs="Arial"/>
            <w:color w:val="0070C0"/>
          </w:rPr>
          <w:t>acl.gov/SeniorNutrition</w:t>
        </w:r>
      </w:hyperlink>
      <w:r w:rsidR="00087636" w:rsidRPr="00973123">
        <w:rPr>
          <w:rFonts w:cs="Arial"/>
          <w:color w:val="0070C0"/>
        </w:rPr>
        <w:t>.</w:t>
      </w:r>
    </w:p>
    <w:p w14:paraId="0496B30A" w14:textId="1B6C7EFF" w:rsidR="00EC46DB" w:rsidRPr="000F59B1" w:rsidRDefault="000E7E5C" w:rsidP="00EC46DB">
      <w:pPr>
        <w:spacing w:before="240"/>
        <w:rPr>
          <w:i/>
          <w:iCs/>
        </w:rPr>
      </w:pPr>
      <w:r w:rsidRPr="000F59B1">
        <w:rPr>
          <w:i/>
          <w:iCs/>
        </w:rPr>
        <w:t xml:space="preserve">Purpose: Understand why health and well-being </w:t>
      </w:r>
      <w:r w:rsidR="00F23FD4" w:rsidRPr="000F59B1">
        <w:rPr>
          <w:i/>
          <w:iCs/>
        </w:rPr>
        <w:t xml:space="preserve">are </w:t>
      </w:r>
      <w:r w:rsidRPr="000F59B1">
        <w:rPr>
          <w:i/>
          <w:iCs/>
        </w:rPr>
        <w:t xml:space="preserve">important, the value </w:t>
      </w:r>
      <w:r w:rsidR="00484C43" w:rsidRPr="000F59B1">
        <w:rPr>
          <w:i/>
          <w:iCs/>
        </w:rPr>
        <w:t xml:space="preserve">and impact </w:t>
      </w:r>
      <w:r w:rsidRPr="000F59B1">
        <w:rPr>
          <w:i/>
          <w:iCs/>
        </w:rPr>
        <w:t>of partnerships</w:t>
      </w:r>
      <w:r w:rsidR="006A3A33" w:rsidRPr="000F59B1">
        <w:rPr>
          <w:i/>
          <w:iCs/>
        </w:rPr>
        <w:t xml:space="preserve"> </w:t>
      </w:r>
      <w:r w:rsidR="00484C43" w:rsidRPr="000F59B1">
        <w:rPr>
          <w:i/>
          <w:iCs/>
        </w:rPr>
        <w:t>on</w:t>
      </w:r>
      <w:r w:rsidR="006A3A33" w:rsidRPr="000F59B1">
        <w:rPr>
          <w:i/>
          <w:iCs/>
        </w:rPr>
        <w:t xml:space="preserve"> nutrition programs</w:t>
      </w:r>
      <w:r w:rsidRPr="000F59B1">
        <w:rPr>
          <w:i/>
          <w:iCs/>
        </w:rPr>
        <w:t>, and barriers to nutrition programs</w:t>
      </w:r>
      <w:r w:rsidR="00C16AB4">
        <w:rPr>
          <w:i/>
          <w:iCs/>
        </w:rPr>
        <w:t>.</w:t>
      </w:r>
    </w:p>
    <w:p w14:paraId="36D50DD9" w14:textId="7B2CE871" w:rsidR="000E7E5C" w:rsidRDefault="00973123" w:rsidP="00EC46DB">
      <w:pPr>
        <w:pStyle w:val="Heading2"/>
      </w:pPr>
      <w:r w:rsidRPr="00EC46DB">
        <w:rPr>
          <w:noProof/>
        </w:rPr>
        <w:drawing>
          <wp:anchor distT="0" distB="0" distL="114300" distR="114300" simplePos="0" relativeHeight="251658241" behindDoc="0" locked="0" layoutInCell="1" allowOverlap="1" wp14:anchorId="482F213F" wp14:editId="72489FBA">
            <wp:simplePos x="0" y="0"/>
            <wp:positionH relativeFrom="column">
              <wp:posOffset>2857500</wp:posOffset>
            </wp:positionH>
            <wp:positionV relativeFrom="paragraph">
              <wp:posOffset>-5080</wp:posOffset>
            </wp:positionV>
            <wp:extent cx="2858135" cy="1768475"/>
            <wp:effectExtent l="0" t="0" r="0" b="3175"/>
            <wp:wrapSquare wrapText="bothSides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76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E5C">
        <w:t>National Senior Nutrition Program</w:t>
      </w:r>
    </w:p>
    <w:p w14:paraId="26810CE2" w14:textId="5CCF9CE7" w:rsidR="006247D9" w:rsidRPr="00EC46DB" w:rsidRDefault="00F14CF5" w:rsidP="0077784E">
      <w:pPr>
        <w:rPr>
          <w:b/>
          <w:bCs/>
        </w:rPr>
      </w:pPr>
      <w:r w:rsidRPr="00EC46DB">
        <w:t>The National Senior Nutrition Program (SNP) is funded by the</w:t>
      </w:r>
      <w:r w:rsidR="00584D44" w:rsidRPr="00EC46DB">
        <w:t xml:space="preserve"> </w:t>
      </w:r>
      <w:r w:rsidRPr="00EC46DB">
        <w:t xml:space="preserve">Older Americans Act. </w:t>
      </w:r>
      <w:bookmarkStart w:id="0" w:name="_Hlk75159237"/>
      <w:r w:rsidRPr="00EC46DB">
        <w:t>The program provides older adults with meals and nutrition services</w:t>
      </w:r>
      <w:r w:rsidR="00CF4CF4" w:rsidRPr="00EC46DB">
        <w:t xml:space="preserve"> and</w:t>
      </w:r>
      <w:r w:rsidRPr="00EC46DB">
        <w:t xml:space="preserve"> </w:t>
      </w:r>
      <w:r w:rsidR="00F23FD4" w:rsidRPr="00EC46DB">
        <w:t xml:space="preserve">promotes </w:t>
      </w:r>
      <w:r w:rsidRPr="00EC46DB">
        <w:t>socialization</w:t>
      </w:r>
      <w:r w:rsidR="00CF4CF4" w:rsidRPr="00EC46DB">
        <w:t xml:space="preserve"> and</w:t>
      </w:r>
      <w:r w:rsidRPr="00EC46DB">
        <w:t xml:space="preserve"> health and well-being</w:t>
      </w:r>
      <w:bookmarkEnd w:id="0"/>
      <w:r w:rsidR="006247D9" w:rsidRPr="00EC46DB">
        <w:t xml:space="preserve">. </w:t>
      </w:r>
      <w:hyperlink r:id="rId12" w:history="1">
        <w:r w:rsidR="00584D44" w:rsidRPr="00FC1F40">
          <w:rPr>
            <w:rStyle w:val="Hyperlink"/>
          </w:rPr>
          <w:t>Learn more about the SNP</w:t>
        </w:r>
      </w:hyperlink>
      <w:r w:rsidR="00FC1F40">
        <w:t>.</w:t>
      </w:r>
    </w:p>
    <w:p w14:paraId="3FD805C8" w14:textId="77777777" w:rsidR="00905412" w:rsidRDefault="00905412" w:rsidP="00EC46DB">
      <w:pPr>
        <w:pStyle w:val="Heading2"/>
      </w:pPr>
      <w:r>
        <w:t xml:space="preserve">Promoting Health and Well-Being </w:t>
      </w:r>
    </w:p>
    <w:p w14:paraId="4C0C6443" w14:textId="38CEAE72" w:rsidR="006A3A33" w:rsidRPr="00EC46DB" w:rsidRDefault="001F4BFF" w:rsidP="0077784E">
      <w:pPr>
        <w:rPr>
          <w:color w:val="202124"/>
          <w:shd w:val="clear" w:color="auto" w:fill="FFFFFF"/>
        </w:rPr>
      </w:pPr>
      <w:r w:rsidRPr="00EC46DB">
        <w:t xml:space="preserve">Aging network organizations </w:t>
      </w:r>
      <w:r w:rsidR="006A3A33" w:rsidRPr="00EC46DB">
        <w:t>should consider setting</w:t>
      </w:r>
      <w:r w:rsidR="00FE6DE2" w:rsidRPr="00EC46DB">
        <w:t xml:space="preserve"> specific </w:t>
      </w:r>
      <w:r w:rsidR="009A5588" w:rsidRPr="00EC46DB">
        <w:t>goal</w:t>
      </w:r>
      <w:r w:rsidR="00FE6DE2" w:rsidRPr="00EC46DB">
        <w:t>s for</w:t>
      </w:r>
      <w:r w:rsidR="009A5588" w:rsidRPr="00EC46DB">
        <w:t xml:space="preserve"> promoting health and well-being</w:t>
      </w:r>
      <w:r w:rsidR="00FE6DE2" w:rsidRPr="00EC46DB">
        <w:t xml:space="preserve">. </w:t>
      </w:r>
      <w:r w:rsidR="00FE6DE2" w:rsidRPr="00EC46DB">
        <w:rPr>
          <w:color w:val="202124"/>
          <w:shd w:val="clear" w:color="auto" w:fill="FFFFFF"/>
        </w:rPr>
        <w:t xml:space="preserve">For example, </w:t>
      </w:r>
      <w:r w:rsidR="00E52272" w:rsidRPr="00EC46DB">
        <w:rPr>
          <w:color w:val="202124"/>
          <w:shd w:val="clear" w:color="auto" w:fill="FFFFFF"/>
        </w:rPr>
        <w:t xml:space="preserve">the goal of </w:t>
      </w:r>
      <w:hyperlink r:id="rId13" w:history="1">
        <w:r w:rsidR="00FE6DE2" w:rsidRPr="00EC46DB">
          <w:rPr>
            <w:rStyle w:val="Hyperlink"/>
            <w:rFonts w:cs="Arial"/>
          </w:rPr>
          <w:t>Ohio’s 2020-2022 Strategic Action Plan on Agin</w:t>
        </w:r>
        <w:r w:rsidRPr="00EC46DB">
          <w:rPr>
            <w:rStyle w:val="Hyperlink"/>
            <w:rFonts w:cs="Arial"/>
          </w:rPr>
          <w:t>g</w:t>
        </w:r>
      </w:hyperlink>
      <w:r w:rsidR="00FE6DE2" w:rsidRPr="00EC46DB">
        <w:t xml:space="preserve"> is for older adults to</w:t>
      </w:r>
      <w:r w:rsidR="00FE6DE2" w:rsidRPr="00EC46DB">
        <w:rPr>
          <w:color w:val="202124"/>
          <w:shd w:val="clear" w:color="auto" w:fill="FFFFFF"/>
        </w:rPr>
        <w:t xml:space="preserve"> live longer, healthier lives with dignity and autonomy and </w:t>
      </w:r>
      <w:r w:rsidR="00B056DF" w:rsidRPr="00EC46DB">
        <w:rPr>
          <w:color w:val="202124"/>
          <w:shd w:val="clear" w:color="auto" w:fill="FFFFFF"/>
        </w:rPr>
        <w:t xml:space="preserve">eliminate </w:t>
      </w:r>
      <w:r w:rsidR="00FE6DE2" w:rsidRPr="00EC46DB">
        <w:rPr>
          <w:color w:val="202124"/>
          <w:shd w:val="clear" w:color="auto" w:fill="FFFFFF"/>
        </w:rPr>
        <w:t xml:space="preserve">disparities and inequities. </w:t>
      </w:r>
    </w:p>
    <w:p w14:paraId="5D628EAA" w14:textId="30931D47" w:rsidR="00905412" w:rsidRDefault="00D733ED" w:rsidP="00EC46DB">
      <w:r>
        <w:t>Setting</w:t>
      </w:r>
      <w:r w:rsidR="00FE6DE2">
        <w:t xml:space="preserve"> outcomes is also important</w:t>
      </w:r>
      <w:r w:rsidR="00B056DF">
        <w:t>. T</w:t>
      </w:r>
      <w:r w:rsidR="001F4BFF">
        <w:t>he SNP outcome</w:t>
      </w:r>
      <w:r>
        <w:t xml:space="preserve">s include </w:t>
      </w:r>
      <w:r w:rsidR="00FE6DE2">
        <w:t xml:space="preserve">impact on </w:t>
      </w:r>
      <w:r w:rsidR="007D30A2">
        <w:t>the</w:t>
      </w:r>
      <w:r w:rsidR="001F4BFF">
        <w:t xml:space="preserve"> </w:t>
      </w:r>
      <w:r w:rsidR="00FE6DE2">
        <w:t>nutrition</w:t>
      </w:r>
      <w:r w:rsidR="001F4BFF">
        <w:t>al status</w:t>
      </w:r>
      <w:r w:rsidR="007D30A2">
        <w:t xml:space="preserve"> of older adults</w:t>
      </w:r>
      <w:r w:rsidR="00FE6DE2">
        <w:t xml:space="preserve">, including </w:t>
      </w:r>
      <w:r w:rsidR="001F4BFF">
        <w:t xml:space="preserve">avoiding </w:t>
      </w:r>
      <w:r w:rsidR="00FE6DE2">
        <w:t xml:space="preserve">malnutrition and improving physical activity. </w:t>
      </w:r>
      <w:r w:rsidR="005C29F0">
        <w:t xml:space="preserve">Ohio’s </w:t>
      </w:r>
      <w:r w:rsidR="001F4BFF">
        <w:t>plan includes measuring social connectedness (social inclusion and volunteerism</w:t>
      </w:r>
      <w:r w:rsidR="007D30A2">
        <w:t>)</w:t>
      </w:r>
      <w:r w:rsidR="00496AA1">
        <w:t>,</w:t>
      </w:r>
      <w:r w:rsidR="007D30A2">
        <w:t xml:space="preserve"> </w:t>
      </w:r>
      <w:r w:rsidR="00E52272">
        <w:t xml:space="preserve">maintaining </w:t>
      </w:r>
      <w:r w:rsidR="001F4BFF">
        <w:t>population health (cognitive health, cardiovascular health</w:t>
      </w:r>
      <w:r w:rsidR="00E52272">
        <w:t>,</w:t>
      </w:r>
      <w:r w:rsidR="001F4BFF">
        <w:t xml:space="preserve"> and mental health)</w:t>
      </w:r>
      <w:r w:rsidR="00496AA1">
        <w:t>,</w:t>
      </w:r>
      <w:r w:rsidR="001F4BFF">
        <w:t xml:space="preserve"> and preserving independence (chronic pain management and falls prevention).</w:t>
      </w:r>
    </w:p>
    <w:p w14:paraId="5A755457" w14:textId="77777777" w:rsidR="008F44AD" w:rsidRDefault="00EC46DB">
      <w:r w:rsidDel="00F86B98">
        <w:rPr>
          <w:rFonts w:cs="Arial"/>
          <w:b/>
          <w:bCs/>
          <w:noProof/>
          <w:sz w:val="24"/>
          <w:szCs w:val="24"/>
        </w:rPr>
        <w:drawing>
          <wp:inline distT="0" distB="0" distL="0" distR="0" wp14:anchorId="5A088BD1" wp14:editId="689D6273">
            <wp:extent cx="5403850" cy="2329180"/>
            <wp:effectExtent l="0" t="0" r="6350" b="0"/>
            <wp:docPr id="1" name="Picture 1" descr="Pie chart:&#10;50%: Social, economic and physical environment (community conditions, such as economic stability, food insecurity, housing, and transportation).&#10;30%: Health behaviors (Such as physical activity and tobacco use).&#10;20%: Clinical care (Such as health care quality and access).&#10;&#10;Underlying drivers of inequity: Poverty, trauma, toxic stress and discrimination and oppression, including ageism, racism, ableism, and other &quot;isms.&quot;&#10;&#10;Source: Adapted from Booske, Bridget C. et Al. County Health Rankings Working Paper: Different Perspectives for Assigning Weights to Determinants of Health. University of Wisconsin Public Health Institute, 20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ie chart:&#10;50%: Social, economic and physical environment (community conditions, such as economic stability, food insecurity, housing, and transportation).&#10;30%: Health behaviors (Such as physical activity and tobacco use).&#10;20%: Clinical care (Such as health care quality and access).&#10;&#10;Underlying drivers of inequity: Poverty, trauma, toxic stress and discrimination and oppression, including ageism, racism, ableism, and other &quot;isms.&quot;&#10;&#10;Source: Adapted from Booske, Bridget C. et Al. County Health Rankings Working Paper: Different Perspectives for Assigning Weights to Determinants of Health. University of Wisconsin Public Health Institute, 2010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232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0296AB" w14:textId="18E19F7E" w:rsidR="00485B29" w:rsidRPr="00A77DF2" w:rsidRDefault="001F4BFF">
      <w:r>
        <w:t>The figure below shows that</w:t>
      </w:r>
      <w:r w:rsidR="00431FDC">
        <w:t xml:space="preserve"> health and wellness</w:t>
      </w:r>
      <w:r w:rsidR="0087637F">
        <w:t xml:space="preserve"> are</w:t>
      </w:r>
      <w:r w:rsidR="00431FDC">
        <w:t xml:space="preserve"> </w:t>
      </w:r>
      <w:r w:rsidR="00F43683">
        <w:t>heavily influenced by</w:t>
      </w:r>
      <w:r w:rsidR="00484C43">
        <w:t xml:space="preserve"> </w:t>
      </w:r>
      <w:r>
        <w:t xml:space="preserve">factors in the environment and </w:t>
      </w:r>
      <w:r w:rsidR="00431FDC">
        <w:t xml:space="preserve">people’s </w:t>
      </w:r>
      <w:r>
        <w:t>health behaviors</w:t>
      </w:r>
      <w:r w:rsidR="005C29F0">
        <w:t xml:space="preserve"> (also called </w:t>
      </w:r>
      <w:r w:rsidR="00496AA1">
        <w:t>“s</w:t>
      </w:r>
      <w:r w:rsidR="005C29F0">
        <w:t xml:space="preserve">ocial </w:t>
      </w:r>
      <w:r w:rsidR="00496AA1">
        <w:t>d</w:t>
      </w:r>
      <w:r w:rsidR="005C29F0">
        <w:t xml:space="preserve">eterminants of </w:t>
      </w:r>
      <w:r w:rsidR="00496AA1">
        <w:t>h</w:t>
      </w:r>
      <w:r w:rsidR="005C29F0">
        <w:t>ealth</w:t>
      </w:r>
      <w:r w:rsidR="00496AA1">
        <w:t>”</w:t>
      </w:r>
      <w:r w:rsidR="005C29F0">
        <w:t>)</w:t>
      </w:r>
      <w:r w:rsidR="00431FDC">
        <w:t xml:space="preserve">. Only </w:t>
      </w:r>
      <w:r w:rsidR="00431FDC" w:rsidRPr="00EC46DB">
        <w:t>20</w:t>
      </w:r>
      <w:r w:rsidR="004B1F3C">
        <w:t>%</w:t>
      </w:r>
      <w:r w:rsidR="00431FDC" w:rsidRPr="00EC46DB">
        <w:t xml:space="preserve"> of health and wellness is directly related to the availability </w:t>
      </w:r>
      <w:r w:rsidR="005C29F0" w:rsidRPr="00EC46DB">
        <w:t xml:space="preserve">of </w:t>
      </w:r>
      <w:r w:rsidR="00431FDC" w:rsidRPr="00EC46DB">
        <w:t>and access to quality health care.</w:t>
      </w:r>
    </w:p>
    <w:p w14:paraId="59A38CB6" w14:textId="439963D5" w:rsidR="004B7E2B" w:rsidRPr="00496AA1" w:rsidRDefault="00E52272" w:rsidP="0077784E">
      <w:pPr>
        <w:pStyle w:val="Heading2"/>
        <w:rPr>
          <w:rFonts w:cs="Arial"/>
          <w:sz w:val="18"/>
          <w:szCs w:val="18"/>
        </w:rPr>
      </w:pPr>
      <w:r w:rsidRPr="000F59B1">
        <w:lastRenderedPageBreak/>
        <w:t xml:space="preserve">Some Common </w:t>
      </w:r>
      <w:r w:rsidR="004B7E2B" w:rsidRPr="000F59B1">
        <w:t xml:space="preserve">Barriers and Strategies </w:t>
      </w:r>
      <w:r w:rsidRPr="000F59B1">
        <w:t>that Contribute to the Success of</w:t>
      </w:r>
      <w:r w:rsidR="000F59B1">
        <w:t xml:space="preserve"> a SNP</w:t>
      </w:r>
      <w:r w:rsidR="00B22F35" w:rsidRPr="00496AA1">
        <w:rPr>
          <w:rStyle w:val="FootnoteReference"/>
          <w:rFonts w:cs="Arial"/>
          <w:b w:val="0"/>
          <w:bCs/>
          <w:sz w:val="18"/>
          <w:szCs w:val="18"/>
        </w:rPr>
        <w:footnoteReference w:id="2"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585"/>
        <w:gridCol w:w="4860"/>
      </w:tblGrid>
      <w:tr w:rsidR="004B7E2B" w14:paraId="6BBE84B5" w14:textId="77777777" w:rsidTr="007779C9">
        <w:trPr>
          <w:trHeight w:val="368"/>
        </w:trPr>
        <w:tc>
          <w:tcPr>
            <w:tcW w:w="4585" w:type="dxa"/>
          </w:tcPr>
          <w:p w14:paraId="725A01CC" w14:textId="062B775A" w:rsidR="004B7E2B" w:rsidRPr="00496AA1" w:rsidRDefault="00022EC3" w:rsidP="00EC46DB">
            <w:pPr>
              <w:rPr>
                <w:b/>
                <w:bCs/>
              </w:rPr>
            </w:pPr>
            <w:r w:rsidRPr="00496AA1">
              <w:rPr>
                <w:b/>
                <w:bCs/>
              </w:rPr>
              <w:t xml:space="preserve">Common </w:t>
            </w:r>
            <w:r w:rsidR="004B7E2B" w:rsidRPr="00496AA1">
              <w:rPr>
                <w:b/>
                <w:bCs/>
              </w:rPr>
              <w:t xml:space="preserve">Barriers </w:t>
            </w:r>
          </w:p>
        </w:tc>
        <w:tc>
          <w:tcPr>
            <w:tcW w:w="4860" w:type="dxa"/>
          </w:tcPr>
          <w:p w14:paraId="0203ED98" w14:textId="77777777" w:rsidR="004B7E2B" w:rsidRPr="00496AA1" w:rsidRDefault="004B7E2B" w:rsidP="00EC46DB">
            <w:pPr>
              <w:rPr>
                <w:b/>
                <w:bCs/>
              </w:rPr>
            </w:pPr>
            <w:r w:rsidRPr="00496AA1">
              <w:rPr>
                <w:b/>
                <w:bCs/>
              </w:rPr>
              <w:t xml:space="preserve">Improvement Strategy </w:t>
            </w:r>
          </w:p>
        </w:tc>
      </w:tr>
      <w:tr w:rsidR="004B7E2B" w14:paraId="42A6A58B" w14:textId="77777777" w:rsidTr="007779C9">
        <w:tc>
          <w:tcPr>
            <w:tcW w:w="4585" w:type="dxa"/>
          </w:tcPr>
          <w:p w14:paraId="06F5FF35" w14:textId="77777777" w:rsidR="004B7E2B" w:rsidRDefault="004B7E2B" w:rsidP="00EC46DB">
            <w:r>
              <w:t xml:space="preserve">Unnecessarily Strict Nutrition Guidelines </w:t>
            </w:r>
          </w:p>
        </w:tc>
        <w:tc>
          <w:tcPr>
            <w:tcW w:w="4860" w:type="dxa"/>
          </w:tcPr>
          <w:p w14:paraId="264C4A94" w14:textId="4C8E5DC2" w:rsidR="004B7E2B" w:rsidRDefault="00691E8A" w:rsidP="00EC46DB">
            <w:r>
              <w:t xml:space="preserve">● </w:t>
            </w:r>
            <w:r w:rsidR="00343D9F">
              <w:t xml:space="preserve">Eliminate unnecessary requirements </w:t>
            </w:r>
          </w:p>
          <w:p w14:paraId="57D5DDB1" w14:textId="66C1EA91" w:rsidR="00343D9F" w:rsidRDefault="00691E8A" w:rsidP="00EC46DB">
            <w:r>
              <w:t xml:space="preserve">● </w:t>
            </w:r>
            <w:r w:rsidR="00484C43">
              <w:t>F</w:t>
            </w:r>
            <w:r w:rsidR="00343D9F">
              <w:t>ollow the DGA and DRI</w:t>
            </w:r>
            <w:r>
              <w:t xml:space="preserve"> requirement</w:t>
            </w:r>
            <w:r w:rsidR="007D30A2">
              <w:t>s</w:t>
            </w:r>
            <w:r w:rsidR="00343D9F">
              <w:t xml:space="preserve"> </w:t>
            </w:r>
          </w:p>
        </w:tc>
      </w:tr>
      <w:tr w:rsidR="004B7E2B" w14:paraId="1356C580" w14:textId="77777777" w:rsidTr="007779C9">
        <w:tc>
          <w:tcPr>
            <w:tcW w:w="4585" w:type="dxa"/>
          </w:tcPr>
          <w:p w14:paraId="0E29A1F6" w14:textId="3850B47D" w:rsidR="004B7E2B" w:rsidRDefault="004B7E2B" w:rsidP="00EC46DB">
            <w:r>
              <w:t>Lack of Menu Diversity/Choices</w:t>
            </w:r>
          </w:p>
        </w:tc>
        <w:tc>
          <w:tcPr>
            <w:tcW w:w="4860" w:type="dxa"/>
          </w:tcPr>
          <w:p w14:paraId="6E371363" w14:textId="3ABBA2C8" w:rsidR="00431FDC" w:rsidRDefault="00691E8A" w:rsidP="00EC46DB">
            <w:r>
              <w:t xml:space="preserve">● </w:t>
            </w:r>
            <w:r w:rsidR="00022EC3">
              <w:t>Foster r</w:t>
            </w:r>
            <w:r w:rsidR="00431FDC">
              <w:t>estaurant partnerships</w:t>
            </w:r>
          </w:p>
          <w:p w14:paraId="51EF9F92" w14:textId="547ED010" w:rsidR="004B7E2B" w:rsidRDefault="00691E8A" w:rsidP="00EC46DB">
            <w:r>
              <w:t xml:space="preserve">● </w:t>
            </w:r>
            <w:r w:rsidR="00343D9F">
              <w:t>Add multiple meal options</w:t>
            </w:r>
          </w:p>
          <w:p w14:paraId="70C97F60" w14:textId="2000C7C9" w:rsidR="00343D9F" w:rsidRDefault="00691E8A" w:rsidP="00EC46DB">
            <w:r>
              <w:t xml:space="preserve">● </w:t>
            </w:r>
            <w:r w:rsidR="00343D9F">
              <w:t>C</w:t>
            </w:r>
            <w:r w:rsidR="00431FDC">
              <w:t>ustomize menus</w:t>
            </w:r>
            <w:r w:rsidR="00343D9F">
              <w:t xml:space="preserve"> to each population </w:t>
            </w:r>
          </w:p>
          <w:p w14:paraId="7D286FD2" w14:textId="58FD38EB" w:rsidR="00343D9F" w:rsidRDefault="00691E8A" w:rsidP="00EC46DB">
            <w:r>
              <w:t xml:space="preserve">● </w:t>
            </w:r>
            <w:r w:rsidR="00343D9F">
              <w:t xml:space="preserve">Emphasize the importance of taste and appeal </w:t>
            </w:r>
          </w:p>
        </w:tc>
      </w:tr>
      <w:tr w:rsidR="004B7E2B" w14:paraId="45D93C40" w14:textId="77777777" w:rsidTr="007779C9">
        <w:tc>
          <w:tcPr>
            <w:tcW w:w="4585" w:type="dxa"/>
          </w:tcPr>
          <w:p w14:paraId="02E37CDF" w14:textId="77777777" w:rsidR="004B7E2B" w:rsidRDefault="004B7E2B" w:rsidP="00EC46DB">
            <w:r>
              <w:t xml:space="preserve">Unappealing Site Environment </w:t>
            </w:r>
          </w:p>
        </w:tc>
        <w:tc>
          <w:tcPr>
            <w:tcW w:w="4860" w:type="dxa"/>
          </w:tcPr>
          <w:p w14:paraId="6C3A216B" w14:textId="0417DEB2" w:rsidR="00343D9F" w:rsidRDefault="00691E8A" w:rsidP="00EC46DB">
            <w:r>
              <w:t xml:space="preserve">● </w:t>
            </w:r>
            <w:r w:rsidR="00343D9F">
              <w:t>Choose more attractive location sites and supplies (</w:t>
            </w:r>
            <w:r w:rsidR="00431FDC">
              <w:t>use</w:t>
            </w:r>
            <w:r w:rsidR="00343D9F">
              <w:t xml:space="preserve"> real plates</w:t>
            </w:r>
            <w:r w:rsidR="00431FDC">
              <w:t xml:space="preserve"> instead of </w:t>
            </w:r>
            <w:r w:rsidR="00087636">
              <w:t xml:space="preserve">plastic </w:t>
            </w:r>
            <w:r w:rsidR="00150F77">
              <w:t xml:space="preserve">or </w:t>
            </w:r>
            <w:r w:rsidR="00022EC3">
              <w:t>Styrofoam</w:t>
            </w:r>
            <w:r w:rsidR="00343D9F">
              <w:t xml:space="preserve">)  </w:t>
            </w:r>
          </w:p>
          <w:p w14:paraId="0D20FEBC" w14:textId="6EDF2F55" w:rsidR="004B7E2B" w:rsidRDefault="00691E8A" w:rsidP="00EC46DB">
            <w:r>
              <w:t xml:space="preserve">● </w:t>
            </w:r>
            <w:r w:rsidR="00343D9F">
              <w:t>Switch to a café/restaurant style meal servi</w:t>
            </w:r>
            <w:r w:rsidR="00431FDC">
              <w:t>ce</w:t>
            </w:r>
            <w:r w:rsidR="00343D9F">
              <w:t xml:space="preserve"> </w:t>
            </w:r>
          </w:p>
        </w:tc>
      </w:tr>
      <w:tr w:rsidR="004B7E2B" w14:paraId="750B320B" w14:textId="77777777" w:rsidTr="007779C9">
        <w:tc>
          <w:tcPr>
            <w:tcW w:w="4585" w:type="dxa"/>
          </w:tcPr>
          <w:p w14:paraId="39E947CE" w14:textId="77777777" w:rsidR="004B7E2B" w:rsidRDefault="004B7E2B" w:rsidP="00EC46DB">
            <w:r>
              <w:t>Inadequate Funding</w:t>
            </w:r>
          </w:p>
        </w:tc>
        <w:tc>
          <w:tcPr>
            <w:tcW w:w="4860" w:type="dxa"/>
          </w:tcPr>
          <w:p w14:paraId="208DA54D" w14:textId="03CD392D" w:rsidR="00343D9F" w:rsidRDefault="00691E8A" w:rsidP="00EC46DB">
            <w:r>
              <w:t xml:space="preserve">● </w:t>
            </w:r>
            <w:r w:rsidR="00343D9F">
              <w:t>Partner with local businesses</w:t>
            </w:r>
            <w:r w:rsidR="001D6535">
              <w:t xml:space="preserve">, </w:t>
            </w:r>
            <w:r w:rsidR="00343D9F">
              <w:t>organizations</w:t>
            </w:r>
            <w:r w:rsidR="001D6535">
              <w:t>, and government</w:t>
            </w:r>
            <w:r>
              <w:t xml:space="preserve"> </w:t>
            </w:r>
          </w:p>
        </w:tc>
      </w:tr>
      <w:tr w:rsidR="004B7E2B" w14:paraId="18BAB515" w14:textId="77777777" w:rsidTr="007779C9">
        <w:tc>
          <w:tcPr>
            <w:tcW w:w="4585" w:type="dxa"/>
          </w:tcPr>
          <w:p w14:paraId="498BBD3E" w14:textId="77777777" w:rsidR="004B7E2B" w:rsidRDefault="004B7E2B" w:rsidP="00EC46DB">
            <w:r>
              <w:t xml:space="preserve">Ineffective Marketing </w:t>
            </w:r>
          </w:p>
        </w:tc>
        <w:tc>
          <w:tcPr>
            <w:tcW w:w="4860" w:type="dxa"/>
          </w:tcPr>
          <w:p w14:paraId="10E7C712" w14:textId="220C4193" w:rsidR="00431FDC" w:rsidRDefault="00691E8A" w:rsidP="00EC46DB">
            <w:r>
              <w:t xml:space="preserve">● </w:t>
            </w:r>
            <w:r w:rsidR="00343D9F">
              <w:t>Increase word</w:t>
            </w:r>
            <w:r w:rsidR="00022EC3">
              <w:t>-</w:t>
            </w:r>
            <w:r w:rsidR="00343D9F">
              <w:t>of</w:t>
            </w:r>
            <w:r w:rsidR="00022EC3">
              <w:t>-</w:t>
            </w:r>
            <w:r w:rsidR="00343D9F">
              <w:t>mouth marketing</w:t>
            </w:r>
          </w:p>
          <w:p w14:paraId="26CCC552" w14:textId="4B3C795F" w:rsidR="00584A84" w:rsidRDefault="00691E8A" w:rsidP="00EC46DB">
            <w:r>
              <w:t xml:space="preserve">● </w:t>
            </w:r>
            <w:r w:rsidR="00431FDC">
              <w:t>Leverage</w:t>
            </w:r>
            <w:r w:rsidR="00343D9F">
              <w:t xml:space="preserve"> partnerships </w:t>
            </w:r>
          </w:p>
        </w:tc>
      </w:tr>
      <w:tr w:rsidR="004B7E2B" w14:paraId="4EF2FCE5" w14:textId="77777777" w:rsidTr="007779C9">
        <w:tc>
          <w:tcPr>
            <w:tcW w:w="4585" w:type="dxa"/>
          </w:tcPr>
          <w:p w14:paraId="4DC19562" w14:textId="6A090A99" w:rsidR="004B7E2B" w:rsidRDefault="00351569" w:rsidP="00EC46DB">
            <w:r>
              <w:t xml:space="preserve">Ineffective </w:t>
            </w:r>
            <w:r w:rsidR="005C29F0">
              <w:t>P</w:t>
            </w:r>
            <w:r w:rsidR="004B7E2B">
              <w:t xml:space="preserve">articipant </w:t>
            </w:r>
            <w:r w:rsidR="005C29F0">
              <w:t>I</w:t>
            </w:r>
            <w:r w:rsidR="004B7E2B">
              <w:t xml:space="preserve">ntake </w:t>
            </w:r>
            <w:r w:rsidR="005C29F0">
              <w:t>F</w:t>
            </w:r>
            <w:r w:rsidR="004B7E2B">
              <w:t xml:space="preserve">orms </w:t>
            </w:r>
          </w:p>
        </w:tc>
        <w:tc>
          <w:tcPr>
            <w:tcW w:w="4860" w:type="dxa"/>
          </w:tcPr>
          <w:p w14:paraId="168CB7A1" w14:textId="2FB5C5A2" w:rsidR="004B7E2B" w:rsidRDefault="00691E8A" w:rsidP="00EC46DB">
            <w:r>
              <w:t xml:space="preserve">● </w:t>
            </w:r>
            <w:r w:rsidR="001D6535">
              <w:t>Create</w:t>
            </w:r>
            <w:r w:rsidR="00584A84">
              <w:t xml:space="preserve"> an online form</w:t>
            </w:r>
          </w:p>
          <w:p w14:paraId="2F6D6BF6" w14:textId="57855C4D" w:rsidR="00584A84" w:rsidRDefault="00691E8A" w:rsidP="00EC46DB">
            <w:r>
              <w:t xml:space="preserve">● </w:t>
            </w:r>
            <w:r w:rsidR="002B42E2">
              <w:t xml:space="preserve">Include </w:t>
            </w:r>
            <w:r w:rsidR="00584A84">
              <w:t xml:space="preserve">privacy statements </w:t>
            </w:r>
          </w:p>
          <w:p w14:paraId="13D3995B" w14:textId="72F6C15B" w:rsidR="00584A84" w:rsidRDefault="00691E8A" w:rsidP="00EC46DB">
            <w:r>
              <w:t xml:space="preserve">● </w:t>
            </w:r>
            <w:r w:rsidR="002B42E2">
              <w:t>Use p</w:t>
            </w:r>
            <w:r w:rsidR="00584A84">
              <w:t xml:space="preserve">erson-friendly layout </w:t>
            </w:r>
          </w:p>
          <w:p w14:paraId="37AEFB7F" w14:textId="7F64C1C2" w:rsidR="00431FDC" w:rsidRDefault="00691E8A" w:rsidP="00EC46DB">
            <w:r>
              <w:t xml:space="preserve">● </w:t>
            </w:r>
            <w:r w:rsidR="00431FDC">
              <w:t>Use plain language</w:t>
            </w:r>
          </w:p>
        </w:tc>
      </w:tr>
    </w:tbl>
    <w:p w14:paraId="66DB03C7" w14:textId="77777777" w:rsidR="0077784E" w:rsidRDefault="0077784E" w:rsidP="00EC46DB">
      <w:pPr>
        <w:pStyle w:val="Heading2"/>
      </w:pPr>
    </w:p>
    <w:p w14:paraId="61049877" w14:textId="12E49955" w:rsidR="0057615D" w:rsidRDefault="00E6036E" w:rsidP="00EC46DB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E8BBFC" wp14:editId="64DF48C1">
            <wp:simplePos x="0" y="0"/>
            <wp:positionH relativeFrom="page">
              <wp:posOffset>3886200</wp:posOffset>
            </wp:positionH>
            <wp:positionV relativeFrom="paragraph">
              <wp:posOffset>198120</wp:posOffset>
            </wp:positionV>
            <wp:extent cx="3040380" cy="2806700"/>
            <wp:effectExtent l="0" t="0" r="0" b="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8" r="9960"/>
                    <a:stretch/>
                  </pic:blipFill>
                  <pic:spPr bwMode="auto">
                    <a:xfrm>
                      <a:off x="0" y="0"/>
                      <a:ext cx="304038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F87" w:rsidRPr="00DF7F87">
        <w:t xml:space="preserve">Partnerships </w:t>
      </w:r>
      <w:r w:rsidR="004B7E2B" w:rsidRPr="00DF7F87">
        <w:t xml:space="preserve"> </w:t>
      </w:r>
    </w:p>
    <w:p w14:paraId="162183FB" w14:textId="10DAD42B" w:rsidR="00D40D3E" w:rsidRDefault="0057615D">
      <w:r w:rsidRPr="0057615D">
        <w:t>Partnerships are vital to making nutrition programs successful</w:t>
      </w:r>
      <w:r w:rsidR="00431FDC">
        <w:t xml:space="preserve"> and promoting health and wellness.</w:t>
      </w:r>
      <w:r w:rsidRPr="0057615D">
        <w:t xml:space="preserve"> Partnerships help </w:t>
      </w:r>
      <w:r w:rsidR="006C6A88">
        <w:t>with</w:t>
      </w:r>
      <w:r w:rsidRPr="0057615D">
        <w:t xml:space="preserve"> funding, marketing, and donations.</w:t>
      </w:r>
      <w:r w:rsidR="002B42E2">
        <w:t xml:space="preserve"> </w:t>
      </w:r>
      <w:r w:rsidR="0077110F">
        <w:t>P</w:t>
      </w:r>
      <w:r w:rsidRPr="0057615D">
        <w:t>artnership opportunities for nutrition programs</w:t>
      </w:r>
      <w:r w:rsidR="0077110F">
        <w:t xml:space="preserve"> could include</w:t>
      </w:r>
      <w:r w:rsidR="00D40D3E">
        <w:t>:</w:t>
      </w:r>
    </w:p>
    <w:p w14:paraId="7F66B5B7" w14:textId="540F1B09" w:rsidR="00D40D3E" w:rsidRDefault="00D40D3E" w:rsidP="00D40D3E">
      <w:pPr>
        <w:pStyle w:val="ListParagraph"/>
        <w:numPr>
          <w:ilvl w:val="0"/>
          <w:numId w:val="6"/>
        </w:numPr>
      </w:pPr>
      <w:r>
        <w:t>Local government</w:t>
      </w:r>
    </w:p>
    <w:p w14:paraId="628D10F1" w14:textId="76DA0AB0" w:rsidR="00716197" w:rsidRDefault="00716197" w:rsidP="00D40D3E">
      <w:pPr>
        <w:pStyle w:val="ListParagraph"/>
        <w:numPr>
          <w:ilvl w:val="0"/>
          <w:numId w:val="6"/>
        </w:numPr>
      </w:pPr>
      <w:r>
        <w:t>Non-profits</w:t>
      </w:r>
    </w:p>
    <w:p w14:paraId="25D8F57B" w14:textId="67ABA682" w:rsidR="00716197" w:rsidRDefault="00716197" w:rsidP="00D40D3E">
      <w:pPr>
        <w:pStyle w:val="ListParagraph"/>
        <w:numPr>
          <w:ilvl w:val="0"/>
          <w:numId w:val="6"/>
        </w:numPr>
      </w:pPr>
      <w:r>
        <w:t>Public spaces such as parks, libraries, and schools</w:t>
      </w:r>
    </w:p>
    <w:p w14:paraId="3F1FC3E2" w14:textId="12683157" w:rsidR="00716197" w:rsidRDefault="00716197" w:rsidP="00D40D3E">
      <w:pPr>
        <w:pStyle w:val="ListParagraph"/>
        <w:numPr>
          <w:ilvl w:val="0"/>
          <w:numId w:val="6"/>
        </w:numPr>
      </w:pPr>
      <w:r>
        <w:t>Faith based organizations</w:t>
      </w:r>
    </w:p>
    <w:p w14:paraId="42398F7A" w14:textId="0C90BF0C" w:rsidR="00A70539" w:rsidRDefault="00A70539" w:rsidP="00D40D3E">
      <w:pPr>
        <w:pStyle w:val="ListParagraph"/>
        <w:numPr>
          <w:ilvl w:val="0"/>
          <w:numId w:val="6"/>
        </w:numPr>
      </w:pPr>
      <w:r>
        <w:t>Healthcare and hospital networks</w:t>
      </w:r>
    </w:p>
    <w:p w14:paraId="27FDEAEE" w14:textId="66DDF63A" w:rsidR="00A70539" w:rsidRDefault="00A70539" w:rsidP="00D40D3E">
      <w:pPr>
        <w:pStyle w:val="ListParagraph"/>
        <w:numPr>
          <w:ilvl w:val="0"/>
          <w:numId w:val="6"/>
        </w:numPr>
      </w:pPr>
      <w:r>
        <w:t>Grocery stores</w:t>
      </w:r>
    </w:p>
    <w:p w14:paraId="2FAE7D71" w14:textId="7A5D9FFD" w:rsidR="00716197" w:rsidRPr="00EC46DB" w:rsidRDefault="00D40D3E" w:rsidP="00973123">
      <w:pPr>
        <w:pStyle w:val="ListParagraph"/>
        <w:numPr>
          <w:ilvl w:val="0"/>
          <w:numId w:val="6"/>
        </w:numPr>
      </w:pPr>
      <w:r>
        <w:t>F</w:t>
      </w:r>
      <w:r w:rsidR="0077110F">
        <w:t>ood banks and pantries</w:t>
      </w:r>
    </w:p>
    <w:p w14:paraId="3371A39D" w14:textId="348784D9" w:rsidR="000E7E5C" w:rsidRDefault="00C32995" w:rsidP="00EC46DB">
      <w:pPr>
        <w:pStyle w:val="Heading2"/>
        <w:rPr>
          <w:b w:val="0"/>
        </w:rPr>
      </w:pPr>
      <w:r>
        <w:t>E</w:t>
      </w:r>
      <w:r w:rsidR="00DF7F87" w:rsidRPr="00CB1E12">
        <w:t>xample</w:t>
      </w:r>
      <w:r w:rsidR="006C6A88">
        <w:t>s</w:t>
      </w:r>
      <w:r w:rsidR="00DF7F87" w:rsidRPr="00CB1E12">
        <w:t xml:space="preserve"> </w:t>
      </w:r>
      <w:r w:rsidR="001D6535">
        <w:t>of Partnerships</w:t>
      </w:r>
    </w:p>
    <w:p w14:paraId="299E9FBE" w14:textId="27BCE5BC" w:rsidR="00086521" w:rsidRPr="000F59B1" w:rsidRDefault="007D30A2" w:rsidP="000F59B1">
      <w:pPr>
        <w:pStyle w:val="Heading3"/>
      </w:pPr>
      <w:r w:rsidRPr="000F59B1">
        <w:t xml:space="preserve">Ohio </w:t>
      </w:r>
      <w:r w:rsidR="00086521" w:rsidRPr="000F59B1">
        <w:t>Farmers</w:t>
      </w:r>
      <w:r w:rsidR="006C6A88" w:rsidRPr="000F59B1">
        <w:t>’</w:t>
      </w:r>
      <w:r w:rsidR="00086521" w:rsidRPr="000F59B1">
        <w:t xml:space="preserve"> Market</w:t>
      </w:r>
      <w:r w:rsidR="00431FDC" w:rsidRPr="000F59B1">
        <w:t>s</w:t>
      </w:r>
    </w:p>
    <w:p w14:paraId="45631078" w14:textId="3152EF61" w:rsidR="00CB1E12" w:rsidRPr="00CB1E12" w:rsidRDefault="00CB1E12" w:rsidP="00EC46DB">
      <w:r w:rsidRPr="00CB1E12">
        <w:t>During the COVID-19 pandemic, local Ohio farmers</w:t>
      </w:r>
      <w:r w:rsidR="006C6A88">
        <w:t>’</w:t>
      </w:r>
      <w:r w:rsidRPr="00CB1E12">
        <w:t xml:space="preserve"> markets </w:t>
      </w:r>
      <w:r>
        <w:t>catered to the needs of older adults</w:t>
      </w:r>
      <w:r w:rsidR="007D30A2">
        <w:t xml:space="preserve"> </w:t>
      </w:r>
      <w:r w:rsidR="00351569">
        <w:t xml:space="preserve">in the community </w:t>
      </w:r>
      <w:r w:rsidR="007D30A2">
        <w:t xml:space="preserve">to </w:t>
      </w:r>
      <w:r w:rsidR="001D6535">
        <w:t xml:space="preserve">help </w:t>
      </w:r>
      <w:r w:rsidR="007D30A2">
        <w:t xml:space="preserve">ensure </w:t>
      </w:r>
      <w:r w:rsidR="001D6535">
        <w:t xml:space="preserve">that </w:t>
      </w:r>
      <w:r w:rsidR="007D30A2">
        <w:t>no one went hungry</w:t>
      </w:r>
      <w:r>
        <w:t xml:space="preserve">. </w:t>
      </w:r>
      <w:r w:rsidR="002B42E2">
        <w:t>They</w:t>
      </w:r>
      <w:r>
        <w:t xml:space="preserve"> began to sell </w:t>
      </w:r>
      <w:r w:rsidR="00351569">
        <w:t xml:space="preserve">items </w:t>
      </w:r>
      <w:r>
        <w:t xml:space="preserve">in bulk, opened a drive-thru pickup, and offered home-delivered produce. </w:t>
      </w:r>
    </w:p>
    <w:p w14:paraId="047B9A46" w14:textId="473D780B" w:rsidR="00086521" w:rsidRDefault="00086521" w:rsidP="00EC46DB">
      <w:pPr>
        <w:pStyle w:val="Heading3"/>
      </w:pPr>
      <w:r>
        <w:lastRenderedPageBreak/>
        <w:t xml:space="preserve">Iowa Café </w:t>
      </w:r>
    </w:p>
    <w:p w14:paraId="026A09C4" w14:textId="3FEB6957" w:rsidR="00EC46DB" w:rsidRPr="005B388D" w:rsidRDefault="005B388D" w:rsidP="00EC46DB">
      <w:r>
        <w:t xml:space="preserve">Iowa found that participation in their congregate meal program had decreased, so they decided to make </w:t>
      </w:r>
      <w:r w:rsidR="003070A5">
        <w:t xml:space="preserve">some </w:t>
      </w:r>
      <w:r>
        <w:t xml:space="preserve">improvements. The program </w:t>
      </w:r>
      <w:r w:rsidR="002B42E2">
        <w:t xml:space="preserve">was </w:t>
      </w:r>
      <w:r w:rsidR="00876AC7">
        <w:t>given a more appealing name</w:t>
      </w:r>
      <w:r w:rsidR="003070A5">
        <w:t xml:space="preserve">, </w:t>
      </w:r>
      <w:r w:rsidR="00F02F3D">
        <w:t>T</w:t>
      </w:r>
      <w:r w:rsidR="003070A5">
        <w:t xml:space="preserve">he </w:t>
      </w:r>
      <w:r w:rsidR="002B42E2">
        <w:t>Iowa</w:t>
      </w:r>
      <w:r w:rsidR="00BE16C3">
        <w:t xml:space="preserve"> </w:t>
      </w:r>
      <w:r w:rsidR="00BE16C3" w:rsidRPr="007779C9">
        <w:t>Café</w:t>
      </w:r>
      <w:r w:rsidR="003070A5">
        <w:t xml:space="preserve">, which </w:t>
      </w:r>
      <w:r w:rsidR="00876AC7">
        <w:t>include</w:t>
      </w:r>
      <w:r w:rsidR="003070A5">
        <w:t>d</w:t>
      </w:r>
      <w:r>
        <w:t xml:space="preserve"> a café-like dining experience and </w:t>
      </w:r>
      <w:r w:rsidR="001D6535">
        <w:t xml:space="preserve">an </w:t>
      </w:r>
      <w:r w:rsidR="00876AC7">
        <w:t>expanded</w:t>
      </w:r>
      <w:r>
        <w:t xml:space="preserve"> menu.</w:t>
      </w:r>
      <w:r w:rsidRPr="005B388D">
        <w:t xml:space="preserve"> </w:t>
      </w:r>
      <w:r w:rsidR="00D733ED">
        <w:t xml:space="preserve">During </w:t>
      </w:r>
      <w:r w:rsidR="001D6535">
        <w:t xml:space="preserve">the </w:t>
      </w:r>
      <w:r w:rsidR="00D733ED">
        <w:t>two</w:t>
      </w:r>
      <w:r w:rsidR="006C6A88">
        <w:t>-</w:t>
      </w:r>
      <w:r w:rsidR="00D733ED">
        <w:t xml:space="preserve">year pilot, congregate meal sites </w:t>
      </w:r>
      <w:r w:rsidR="00876AC7">
        <w:t xml:space="preserve">saw a </w:t>
      </w:r>
      <w:r w:rsidR="00D733ED">
        <w:t>significant increase in attendance</w:t>
      </w:r>
      <w:r w:rsidR="006C6A88">
        <w:t xml:space="preserve">; </w:t>
      </w:r>
      <w:r w:rsidR="00D733ED">
        <w:t xml:space="preserve">attracted </w:t>
      </w:r>
      <w:r w:rsidR="00876AC7">
        <w:t xml:space="preserve">more </w:t>
      </w:r>
      <w:r w:rsidR="00D733ED">
        <w:t>“younger” (60-69 years)</w:t>
      </w:r>
      <w:r w:rsidR="005C29F0">
        <w:t xml:space="preserve"> older adults</w:t>
      </w:r>
      <w:r w:rsidR="006C6A88">
        <w:t xml:space="preserve">; </w:t>
      </w:r>
      <w:r w:rsidR="00D733ED">
        <w:t>generated over $150,000</w:t>
      </w:r>
      <w:r w:rsidR="006C6A88">
        <w:t xml:space="preserve"> in </w:t>
      </w:r>
      <w:r w:rsidR="00D733ED">
        <w:t>in-kind support from government, local businesses</w:t>
      </w:r>
      <w:r w:rsidR="006C6A88">
        <w:t>,</w:t>
      </w:r>
      <w:r w:rsidR="00D733ED">
        <w:t xml:space="preserve"> and volunteers</w:t>
      </w:r>
      <w:r w:rsidR="006C6A88">
        <w:t xml:space="preserve">; </w:t>
      </w:r>
      <w:r w:rsidR="00D733ED">
        <w:t>and increased average donations from $2.25 to $3.95 per meal.</w:t>
      </w:r>
    </w:p>
    <w:p w14:paraId="0DE1C252" w14:textId="6BF5CC54" w:rsidR="0052008B" w:rsidRPr="00D733ED" w:rsidRDefault="000E7E5C" w:rsidP="00EC46DB">
      <w:pPr>
        <w:pStyle w:val="Heading2"/>
        <w:rPr>
          <w:b w:val="0"/>
        </w:rPr>
      </w:pPr>
      <w:r w:rsidRPr="000E7E5C">
        <w:t>Resources and Tools</w:t>
      </w:r>
    </w:p>
    <w:p w14:paraId="28E8808F" w14:textId="60F0CA53" w:rsidR="000E7E5C" w:rsidRPr="00EC46DB" w:rsidRDefault="002B0C29" w:rsidP="00EC46DB">
      <w:pPr>
        <w:pStyle w:val="ListParagraph"/>
        <w:numPr>
          <w:ilvl w:val="0"/>
          <w:numId w:val="5"/>
        </w:numPr>
        <w:rPr>
          <w:rFonts w:cs="Arial"/>
        </w:rPr>
      </w:pPr>
      <w:hyperlink r:id="rId16" w:history="1">
        <w:r w:rsidR="00BA4E9A" w:rsidRPr="002F4009">
          <w:rPr>
            <w:rStyle w:val="Hyperlink"/>
            <w:rFonts w:cs="Arial"/>
          </w:rPr>
          <w:t>Summary Assessment of Older Ohioan</w:t>
        </w:r>
        <w:r w:rsidR="002F4009" w:rsidRPr="002F4009">
          <w:rPr>
            <w:rStyle w:val="Hyperlink"/>
            <w:rFonts w:cs="Arial"/>
          </w:rPr>
          <w:t>s</w:t>
        </w:r>
      </w:hyperlink>
      <w:r w:rsidR="002F4009">
        <w:rPr>
          <w:rFonts w:cs="Arial"/>
        </w:rPr>
        <w:t xml:space="preserve"> </w:t>
      </w:r>
    </w:p>
    <w:p w14:paraId="7A98AD56" w14:textId="0AAE6597" w:rsidR="0052008B" w:rsidRPr="002F4009" w:rsidRDefault="002B0C29" w:rsidP="002F4009">
      <w:pPr>
        <w:pStyle w:val="ListParagraph"/>
        <w:numPr>
          <w:ilvl w:val="0"/>
          <w:numId w:val="5"/>
        </w:numPr>
        <w:rPr>
          <w:rFonts w:cs="Arial"/>
        </w:rPr>
      </w:pPr>
      <w:hyperlink r:id="rId17" w:history="1">
        <w:r w:rsidR="0052008B" w:rsidRPr="002F4009">
          <w:rPr>
            <w:rStyle w:val="Hyperlink"/>
            <w:rFonts w:cs="Arial"/>
          </w:rPr>
          <w:t xml:space="preserve">Ohio’s Strategic Plan </w:t>
        </w:r>
        <w:r w:rsidR="00D3789C" w:rsidRPr="002F4009">
          <w:rPr>
            <w:rStyle w:val="Hyperlink"/>
            <w:rFonts w:cs="Arial"/>
          </w:rPr>
          <w:t xml:space="preserve">on </w:t>
        </w:r>
        <w:r w:rsidR="0052008B" w:rsidRPr="002F4009">
          <w:rPr>
            <w:rStyle w:val="Hyperlink"/>
            <w:rFonts w:cs="Arial"/>
          </w:rPr>
          <w:t>Aging</w:t>
        </w:r>
      </w:hyperlink>
    </w:p>
    <w:p w14:paraId="4E3EAFB5" w14:textId="760CA8C5" w:rsidR="0052008B" w:rsidRPr="00EC46DB" w:rsidRDefault="002B0C29" w:rsidP="00EC46DB">
      <w:pPr>
        <w:pStyle w:val="ListParagraph"/>
        <w:numPr>
          <w:ilvl w:val="0"/>
          <w:numId w:val="5"/>
        </w:numPr>
        <w:rPr>
          <w:rFonts w:cs="Arial"/>
        </w:rPr>
      </w:pPr>
      <w:hyperlink r:id="rId18" w:history="1">
        <w:r w:rsidR="002F4009" w:rsidRPr="002F4009">
          <w:rPr>
            <w:rStyle w:val="Hyperlink"/>
            <w:rFonts w:cs="Arial"/>
          </w:rPr>
          <w:t>Iowa Department on Aging Iowa Café</w:t>
        </w:r>
      </w:hyperlink>
    </w:p>
    <w:p w14:paraId="23D183B2" w14:textId="1ADF9F3A" w:rsidR="00EC4752" w:rsidRPr="00A05FE0" w:rsidRDefault="002B0C29" w:rsidP="00EC4752">
      <w:pPr>
        <w:pStyle w:val="ListParagraph"/>
        <w:numPr>
          <w:ilvl w:val="0"/>
          <w:numId w:val="5"/>
        </w:numPr>
        <w:rPr>
          <w:rFonts w:cs="Arial"/>
        </w:rPr>
      </w:pPr>
      <w:hyperlink r:id="rId19" w:history="1">
        <w:r w:rsidR="005F6CA4">
          <w:rPr>
            <w:rStyle w:val="Hyperlink"/>
            <w:rFonts w:cs="Arial"/>
          </w:rPr>
          <w:t>Condition of I</w:t>
        </w:r>
        <w:r w:rsidR="00D733ED" w:rsidRPr="002F4009">
          <w:rPr>
            <w:rStyle w:val="Hyperlink"/>
            <w:rFonts w:cs="Arial"/>
          </w:rPr>
          <w:t>owa’s Congregate Meal Program</w:t>
        </w:r>
      </w:hyperlink>
    </w:p>
    <w:p w14:paraId="7CDA2793" w14:textId="77777777" w:rsidR="00843F8B" w:rsidRDefault="00843F8B" w:rsidP="00EC4752">
      <w:pPr>
        <w:rPr>
          <w:rFonts w:cs="Arial"/>
        </w:rPr>
      </w:pPr>
    </w:p>
    <w:p w14:paraId="0B66BF5A" w14:textId="6CCFD98F" w:rsidR="00EC4752" w:rsidRPr="00EC4752" w:rsidRDefault="00EC4752" w:rsidP="00EC4752">
      <w:pPr>
        <w:rPr>
          <w:rFonts w:cs="Arial"/>
        </w:rPr>
      </w:pPr>
      <w:r w:rsidRPr="004D0136">
        <w:rPr>
          <w:rFonts w:cs="Arial"/>
        </w:rPr>
        <w:t>This material was developed by ACL Intern Mackenzie Brown, Tufts University, 2021.</w:t>
      </w:r>
    </w:p>
    <w:sectPr w:rsidR="00EC4752" w:rsidRPr="00EC4752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EB1E0" w14:textId="77777777" w:rsidR="002B0C29" w:rsidRDefault="002B0C29" w:rsidP="00D22389">
      <w:pPr>
        <w:spacing w:after="0" w:line="240" w:lineRule="auto"/>
      </w:pPr>
      <w:r>
        <w:separator/>
      </w:r>
    </w:p>
  </w:endnote>
  <w:endnote w:type="continuationSeparator" w:id="0">
    <w:p w14:paraId="6E56B529" w14:textId="77777777" w:rsidR="002B0C29" w:rsidRDefault="002B0C29" w:rsidP="00D22389">
      <w:pPr>
        <w:spacing w:after="0" w:line="240" w:lineRule="auto"/>
      </w:pPr>
      <w:r>
        <w:continuationSeparator/>
      </w:r>
    </w:p>
  </w:endnote>
  <w:endnote w:type="continuationNotice" w:id="1">
    <w:p w14:paraId="778BD22C" w14:textId="77777777" w:rsidR="002B0C29" w:rsidRDefault="002B0C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7870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1EAF64" w14:textId="62DBD51A" w:rsidR="00D22389" w:rsidRDefault="00D22389" w:rsidP="00563E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327F7" w14:textId="77777777" w:rsidR="002B0C29" w:rsidRDefault="002B0C29" w:rsidP="00D22389">
      <w:pPr>
        <w:spacing w:after="0" w:line="240" w:lineRule="auto"/>
      </w:pPr>
      <w:r>
        <w:separator/>
      </w:r>
    </w:p>
  </w:footnote>
  <w:footnote w:type="continuationSeparator" w:id="0">
    <w:p w14:paraId="02F3EA7E" w14:textId="77777777" w:rsidR="002B0C29" w:rsidRDefault="002B0C29" w:rsidP="00D22389">
      <w:pPr>
        <w:spacing w:after="0" w:line="240" w:lineRule="auto"/>
      </w:pPr>
      <w:r>
        <w:continuationSeparator/>
      </w:r>
    </w:p>
  </w:footnote>
  <w:footnote w:type="continuationNotice" w:id="1">
    <w:p w14:paraId="217C3DB8" w14:textId="77777777" w:rsidR="002B0C29" w:rsidRDefault="002B0C29">
      <w:pPr>
        <w:spacing w:after="0" w:line="240" w:lineRule="auto"/>
      </w:pPr>
    </w:p>
  </w:footnote>
  <w:footnote w:id="2">
    <w:p w14:paraId="5CCFE537" w14:textId="1FF0E98D" w:rsidR="00B22F35" w:rsidRDefault="00B22F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C46DB">
        <w:rPr>
          <w:rFonts w:cs="Arial"/>
          <w:sz w:val="18"/>
          <w:szCs w:val="18"/>
        </w:rPr>
        <w:t>This list not intended to be all-inclusive. SNPs should evaluate their program, survey seniors, etc. to determine additional barriers and develop strategies to address those barriers.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F26"/>
    <w:multiLevelType w:val="hybridMultilevel"/>
    <w:tmpl w:val="F39A2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A6405"/>
    <w:multiLevelType w:val="hybridMultilevel"/>
    <w:tmpl w:val="D82E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710CE"/>
    <w:multiLevelType w:val="hybridMultilevel"/>
    <w:tmpl w:val="D2FC9C6A"/>
    <w:lvl w:ilvl="0" w:tplc="3E6C2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89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30F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2A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65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4C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8D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A6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63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A27B05"/>
    <w:multiLevelType w:val="hybridMultilevel"/>
    <w:tmpl w:val="6060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A0BFB"/>
    <w:multiLevelType w:val="hybridMultilevel"/>
    <w:tmpl w:val="7778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F16E8"/>
    <w:multiLevelType w:val="hybridMultilevel"/>
    <w:tmpl w:val="F2DEC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5C"/>
    <w:rsid w:val="00016D2D"/>
    <w:rsid w:val="00022EC3"/>
    <w:rsid w:val="00024756"/>
    <w:rsid w:val="000835EF"/>
    <w:rsid w:val="00086521"/>
    <w:rsid w:val="00087636"/>
    <w:rsid w:val="000A144A"/>
    <w:rsid w:val="000B24D2"/>
    <w:rsid w:val="000E7E5C"/>
    <w:rsid w:val="000F59B1"/>
    <w:rsid w:val="00125BC1"/>
    <w:rsid w:val="00142040"/>
    <w:rsid w:val="00150F77"/>
    <w:rsid w:val="00172CC9"/>
    <w:rsid w:val="0018320B"/>
    <w:rsid w:val="001D6535"/>
    <w:rsid w:val="001F4BFF"/>
    <w:rsid w:val="001F4C94"/>
    <w:rsid w:val="00267897"/>
    <w:rsid w:val="002B0C29"/>
    <w:rsid w:val="002B42E2"/>
    <w:rsid w:val="002F4009"/>
    <w:rsid w:val="003070A5"/>
    <w:rsid w:val="00312B72"/>
    <w:rsid w:val="00343D9F"/>
    <w:rsid w:val="00351569"/>
    <w:rsid w:val="00354396"/>
    <w:rsid w:val="00431FDC"/>
    <w:rsid w:val="004321D4"/>
    <w:rsid w:val="00473127"/>
    <w:rsid w:val="004821FA"/>
    <w:rsid w:val="00484C43"/>
    <w:rsid w:val="00485B29"/>
    <w:rsid w:val="00496AA1"/>
    <w:rsid w:val="004B1F3C"/>
    <w:rsid w:val="004B2D9D"/>
    <w:rsid w:val="004B7E2B"/>
    <w:rsid w:val="0052008B"/>
    <w:rsid w:val="005273E3"/>
    <w:rsid w:val="005454F1"/>
    <w:rsid w:val="005461A0"/>
    <w:rsid w:val="0056083D"/>
    <w:rsid w:val="00563E66"/>
    <w:rsid w:val="005712FC"/>
    <w:rsid w:val="00572B7C"/>
    <w:rsid w:val="0057615D"/>
    <w:rsid w:val="00584A84"/>
    <w:rsid w:val="00584D44"/>
    <w:rsid w:val="005B388D"/>
    <w:rsid w:val="005C29F0"/>
    <w:rsid w:val="005F6CA4"/>
    <w:rsid w:val="006247D9"/>
    <w:rsid w:val="0064378D"/>
    <w:rsid w:val="006461F9"/>
    <w:rsid w:val="00691E8A"/>
    <w:rsid w:val="006A3A33"/>
    <w:rsid w:val="006C6A88"/>
    <w:rsid w:val="006F6A70"/>
    <w:rsid w:val="00716197"/>
    <w:rsid w:val="00726686"/>
    <w:rsid w:val="00753D57"/>
    <w:rsid w:val="0077110F"/>
    <w:rsid w:val="0077784E"/>
    <w:rsid w:val="007779C9"/>
    <w:rsid w:val="00782E8E"/>
    <w:rsid w:val="007B0A30"/>
    <w:rsid w:val="007D30A2"/>
    <w:rsid w:val="00807E43"/>
    <w:rsid w:val="00810EFF"/>
    <w:rsid w:val="00843F8B"/>
    <w:rsid w:val="00853F08"/>
    <w:rsid w:val="0087637F"/>
    <w:rsid w:val="00876AC7"/>
    <w:rsid w:val="00883472"/>
    <w:rsid w:val="008844C1"/>
    <w:rsid w:val="008E2407"/>
    <w:rsid w:val="008F13EC"/>
    <w:rsid w:val="008F3277"/>
    <w:rsid w:val="008F44AD"/>
    <w:rsid w:val="00905412"/>
    <w:rsid w:val="00942BF7"/>
    <w:rsid w:val="00957B0A"/>
    <w:rsid w:val="00973123"/>
    <w:rsid w:val="00993CF4"/>
    <w:rsid w:val="009A1436"/>
    <w:rsid w:val="009A5588"/>
    <w:rsid w:val="009B1A99"/>
    <w:rsid w:val="009D19EB"/>
    <w:rsid w:val="009E2363"/>
    <w:rsid w:val="009E2B3E"/>
    <w:rsid w:val="00A05FE0"/>
    <w:rsid w:val="00A06165"/>
    <w:rsid w:val="00A45C90"/>
    <w:rsid w:val="00A70539"/>
    <w:rsid w:val="00A77DF2"/>
    <w:rsid w:val="00AB07EE"/>
    <w:rsid w:val="00AB1060"/>
    <w:rsid w:val="00AD67EB"/>
    <w:rsid w:val="00AE48E2"/>
    <w:rsid w:val="00AE7908"/>
    <w:rsid w:val="00B056DF"/>
    <w:rsid w:val="00B22F35"/>
    <w:rsid w:val="00B30815"/>
    <w:rsid w:val="00BA4E9A"/>
    <w:rsid w:val="00BE16C3"/>
    <w:rsid w:val="00C03676"/>
    <w:rsid w:val="00C16AB4"/>
    <w:rsid w:val="00C32995"/>
    <w:rsid w:val="00C55FC4"/>
    <w:rsid w:val="00CB1E12"/>
    <w:rsid w:val="00CB35CA"/>
    <w:rsid w:val="00CF0EBE"/>
    <w:rsid w:val="00CF4CF4"/>
    <w:rsid w:val="00D22389"/>
    <w:rsid w:val="00D3789C"/>
    <w:rsid w:val="00D40D3E"/>
    <w:rsid w:val="00D43EE9"/>
    <w:rsid w:val="00D733ED"/>
    <w:rsid w:val="00D94032"/>
    <w:rsid w:val="00D97DDF"/>
    <w:rsid w:val="00DB2BB6"/>
    <w:rsid w:val="00DD28E8"/>
    <w:rsid w:val="00DE40CD"/>
    <w:rsid w:val="00DF7F87"/>
    <w:rsid w:val="00E257B8"/>
    <w:rsid w:val="00E52272"/>
    <w:rsid w:val="00E6036E"/>
    <w:rsid w:val="00E9644F"/>
    <w:rsid w:val="00EA6933"/>
    <w:rsid w:val="00EB1D04"/>
    <w:rsid w:val="00EC46DB"/>
    <w:rsid w:val="00EC4752"/>
    <w:rsid w:val="00F02F3D"/>
    <w:rsid w:val="00F051EF"/>
    <w:rsid w:val="00F14CF5"/>
    <w:rsid w:val="00F23FD4"/>
    <w:rsid w:val="00F43683"/>
    <w:rsid w:val="00F81D60"/>
    <w:rsid w:val="00F86B98"/>
    <w:rsid w:val="00FC1F40"/>
    <w:rsid w:val="00FD3A00"/>
    <w:rsid w:val="00FE6DE2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0F669"/>
  <w15:chartTrackingRefBased/>
  <w15:docId w15:val="{6B527123-2C2E-426A-A879-53514652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6D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6DB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6DB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59B1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59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E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E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4E9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4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0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81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33E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389"/>
  </w:style>
  <w:style w:type="paragraph" w:styleId="Footer">
    <w:name w:val="footer"/>
    <w:basedOn w:val="Normal"/>
    <w:link w:val="FooterChar"/>
    <w:uiPriority w:val="99"/>
    <w:unhideWhenUsed/>
    <w:rsid w:val="00D2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89"/>
  </w:style>
  <w:style w:type="character" w:styleId="UnresolvedMention">
    <w:name w:val="Unresolved Mention"/>
    <w:basedOn w:val="DefaultParagraphFont"/>
    <w:uiPriority w:val="99"/>
    <w:semiHidden/>
    <w:unhideWhenUsed/>
    <w:rsid w:val="00CF4CF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F4CF4"/>
    <w:pPr>
      <w:spacing w:after="0" w:line="240" w:lineRule="auto"/>
    </w:pPr>
  </w:style>
  <w:style w:type="paragraph" w:styleId="Revision">
    <w:name w:val="Revision"/>
    <w:hidden/>
    <w:uiPriority w:val="99"/>
    <w:semiHidden/>
    <w:rsid w:val="00CF4CF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22F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2F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2F3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C46DB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46DB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59B1"/>
    <w:rPr>
      <w:rFonts w:ascii="Arial" w:eastAsiaTheme="majorEastAsia" w:hAnsi="Arial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59B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ging.ohio.gov/wps/portal/gov/aging/about-us/reports-and-data/2020-2022-strategic-action-plan-on-aging-sapa" TargetMode="External"/><Relationship Id="rId18" Type="http://schemas.openxmlformats.org/officeDocument/2006/relationships/hyperlink" Target="https://iowaaging.gov/health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acl.gov/programs/health-wellness/nutrition-services" TargetMode="External"/><Relationship Id="rId17" Type="http://schemas.openxmlformats.org/officeDocument/2006/relationships/hyperlink" Target="https://aging.ohio.gov/wps/portal/gov/aging/about-us/reports-and-data/2020-2022-strategic-action-plan-on-aging-sap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ging.ohio.gov/wps/portal/gov/aging/about-us/reports-and-data/summary-assessment-of-older-ohioans-202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acl.gov/SeniorNutrition" TargetMode="External"/><Relationship Id="rId19" Type="http://schemas.openxmlformats.org/officeDocument/2006/relationships/hyperlink" Target="https://iowaaging.gov/sites/default/files/library-documents/Congregate_Meal_Program_Dec_201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ba8d4a1-0a1c-4299-93a5-2682bf5a17ad">false</TE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14" ma:contentTypeDescription="Create a new document." ma:contentTypeScope="" ma:versionID="3f4835c7fd9c92b412be3f1f371bcd3d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8ee7d375acdf817f48b45adc8155071c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S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5" nillable="true" ma:displayName="TEST" ma:default="0" ma:internalName="TEST">
      <xsd:simpleType>
        <xsd:restriction base="dms:Boolea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33CF3-D970-4CBB-B113-79EB1E483426}">
  <ds:schemaRefs>
    <ds:schemaRef ds:uri="http://schemas.microsoft.com/office/2006/metadata/properties"/>
    <ds:schemaRef ds:uri="http://schemas.microsoft.com/office/infopath/2007/PartnerControls"/>
    <ds:schemaRef ds:uri="cba8d4a1-0a1c-4299-93a5-2682bf5a17ad"/>
  </ds:schemaRefs>
</ds:datastoreItem>
</file>

<file path=customXml/itemProps2.xml><?xml version="1.0" encoding="utf-8"?>
<ds:datastoreItem xmlns:ds="http://schemas.openxmlformats.org/officeDocument/2006/customXml" ds:itemID="{E35A5A29-855B-4F7D-A9BA-C0CEE7C89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7B762-555F-43DE-AE33-6622E1C8E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Health and Wellbeing Tip Sheet</vt:lpstr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Health and Wellbeing Tip Sheet</dc:title>
  <dc:subject/>
  <dc:creator>ACL@betah.com</dc:creator>
  <cp:keywords/>
  <dc:description/>
  <cp:lastModifiedBy>Nora Lindner</cp:lastModifiedBy>
  <cp:revision>53</cp:revision>
  <dcterms:created xsi:type="dcterms:W3CDTF">2021-06-25T16:16:00Z</dcterms:created>
  <dcterms:modified xsi:type="dcterms:W3CDTF">2021-07-13T17:50:00Z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