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B387" w14:textId="4BD0A81A" w:rsidR="00627630" w:rsidRPr="007C4A7E" w:rsidRDefault="00586936" w:rsidP="052DD8E3">
      <w:pPr>
        <w:rPr>
          <w:rFonts w:cs="Arial"/>
          <w:b/>
          <w:bCs/>
          <w:sz w:val="32"/>
          <w:szCs w:val="32"/>
        </w:rPr>
      </w:pPr>
      <w:r w:rsidRPr="052DD8E3">
        <w:rPr>
          <w:rFonts w:cs="Arial"/>
          <w:b/>
          <w:bCs/>
          <w:sz w:val="32"/>
          <w:szCs w:val="32"/>
        </w:rPr>
        <w:t xml:space="preserve">Food </w:t>
      </w:r>
      <w:r w:rsidR="00900200">
        <w:rPr>
          <w:rFonts w:cs="Arial"/>
          <w:b/>
          <w:bCs/>
          <w:sz w:val="32"/>
          <w:szCs w:val="32"/>
        </w:rPr>
        <w:t>Ins</w:t>
      </w:r>
      <w:r w:rsidRPr="052DD8E3">
        <w:rPr>
          <w:rFonts w:cs="Arial"/>
          <w:b/>
          <w:bCs/>
          <w:sz w:val="32"/>
          <w:szCs w:val="32"/>
        </w:rPr>
        <w:t>ecurity</w:t>
      </w:r>
      <w:r w:rsidR="005D0D56">
        <w:rPr>
          <w:rFonts w:cs="Arial"/>
          <w:b/>
          <w:bCs/>
          <w:sz w:val="32"/>
          <w:szCs w:val="32"/>
        </w:rPr>
        <w:t xml:space="preserve"> &amp; Malnutrition</w:t>
      </w:r>
      <w:r w:rsidR="00E02417" w:rsidRPr="052DD8E3">
        <w:rPr>
          <w:rFonts w:cs="Arial"/>
          <w:b/>
          <w:bCs/>
          <w:sz w:val="32"/>
          <w:szCs w:val="32"/>
        </w:rPr>
        <w:t xml:space="preserve"> </w:t>
      </w:r>
      <w:r w:rsidR="518AAFAE" w:rsidRPr="052DD8E3">
        <w:rPr>
          <w:rFonts w:cs="Arial"/>
          <w:b/>
          <w:bCs/>
          <w:sz w:val="32"/>
          <w:szCs w:val="32"/>
        </w:rPr>
        <w:t>Webinar Tip Sheet</w:t>
      </w:r>
    </w:p>
    <w:p w14:paraId="29ED90E7" w14:textId="225B0519" w:rsidR="00DD4CB2" w:rsidRPr="002F61B5" w:rsidRDefault="00DD4CB2" w:rsidP="00DD4CB2">
      <w:pPr>
        <w:rPr>
          <w:rFonts w:cs="Arial"/>
          <w:bCs/>
          <w:color w:val="0070C0"/>
          <w:sz w:val="20"/>
          <w:szCs w:val="20"/>
        </w:rPr>
      </w:pPr>
      <w:r w:rsidRPr="00ED5D4B">
        <w:rPr>
          <w:rFonts w:cs="Arial"/>
          <w:szCs w:val="22"/>
        </w:rPr>
        <w:t xml:space="preserve">Note: The following information is from a March 2021 ACL webinar series, </w:t>
      </w:r>
      <w:r w:rsidR="002F61B5" w:rsidRPr="00ED5D4B">
        <w:rPr>
          <w:rFonts w:cs="Arial"/>
          <w:szCs w:val="22"/>
        </w:rPr>
        <w:t>Nutrition, Socialization, and Health &amp; Well-Being</w:t>
      </w:r>
      <w:r w:rsidRPr="00ED5D4B">
        <w:rPr>
          <w:rFonts w:cs="Arial"/>
          <w:szCs w:val="22"/>
        </w:rPr>
        <w:t>. To view the webinars, visit</w:t>
      </w:r>
      <w:r w:rsidRPr="002F61B5">
        <w:rPr>
          <w:rFonts w:cs="Arial"/>
          <w:bCs/>
          <w:color w:val="0070C0"/>
          <w:sz w:val="20"/>
          <w:szCs w:val="20"/>
        </w:rPr>
        <w:t xml:space="preserve"> </w:t>
      </w:r>
      <w:hyperlink r:id="rId11" w:history="1">
        <w:r w:rsidRPr="002F61B5">
          <w:rPr>
            <w:rStyle w:val="Hyperlink"/>
            <w:rFonts w:cs="Arial"/>
            <w:bCs/>
            <w:color w:val="0070C0"/>
            <w:sz w:val="20"/>
            <w:szCs w:val="20"/>
          </w:rPr>
          <w:t>acl.gov/SeniorNutrition</w:t>
        </w:r>
      </w:hyperlink>
      <w:r w:rsidRPr="008378D0">
        <w:rPr>
          <w:rFonts w:cs="Arial"/>
          <w:bCs/>
          <w:sz w:val="20"/>
          <w:szCs w:val="20"/>
        </w:rPr>
        <w:t>.</w:t>
      </w:r>
    </w:p>
    <w:p w14:paraId="7D4B2D29" w14:textId="77777777" w:rsidR="00B95303" w:rsidRPr="007C4A7E" w:rsidRDefault="00B95303" w:rsidP="00A566C2">
      <w:pPr>
        <w:rPr>
          <w:rFonts w:cs="Arial"/>
          <w:bCs/>
          <w:i/>
          <w:iCs/>
          <w:szCs w:val="22"/>
        </w:rPr>
      </w:pPr>
    </w:p>
    <w:p w14:paraId="451D6BFB" w14:textId="4290EE5B" w:rsidR="00586936" w:rsidRPr="007C4A7E" w:rsidRDefault="00627630" w:rsidP="00A566C2">
      <w:pPr>
        <w:rPr>
          <w:rFonts w:cs="Arial"/>
          <w:b/>
          <w:szCs w:val="22"/>
        </w:rPr>
      </w:pPr>
      <w:r w:rsidRPr="007C4A7E">
        <w:rPr>
          <w:rFonts w:cs="Arial"/>
          <w:bCs/>
          <w:i/>
          <w:iCs/>
          <w:szCs w:val="22"/>
        </w:rPr>
        <w:t>Purpose:</w:t>
      </w:r>
      <w:r w:rsidRPr="007C4A7E">
        <w:rPr>
          <w:rFonts w:cs="Arial"/>
          <w:b/>
          <w:szCs w:val="22"/>
        </w:rPr>
        <w:t xml:space="preserve"> </w:t>
      </w:r>
      <w:r w:rsidRPr="007C4A7E">
        <w:rPr>
          <w:rFonts w:cs="Arial"/>
          <w:bCs/>
          <w:i/>
          <w:iCs/>
          <w:szCs w:val="22"/>
        </w:rPr>
        <w:t xml:space="preserve">Understand what malnutrition </w:t>
      </w:r>
      <w:r w:rsidR="00586936" w:rsidRPr="007C4A7E">
        <w:rPr>
          <w:rFonts w:cs="Arial"/>
          <w:bCs/>
          <w:i/>
          <w:iCs/>
          <w:szCs w:val="22"/>
        </w:rPr>
        <w:t xml:space="preserve">and food </w:t>
      </w:r>
      <w:r w:rsidR="00900200">
        <w:rPr>
          <w:rFonts w:cs="Arial"/>
          <w:bCs/>
          <w:i/>
          <w:iCs/>
          <w:szCs w:val="22"/>
        </w:rPr>
        <w:t>in</w:t>
      </w:r>
      <w:r w:rsidR="00586936" w:rsidRPr="007C4A7E">
        <w:rPr>
          <w:rFonts w:cs="Arial"/>
          <w:bCs/>
          <w:i/>
          <w:iCs/>
          <w:szCs w:val="22"/>
        </w:rPr>
        <w:t xml:space="preserve">security </w:t>
      </w:r>
      <w:r w:rsidR="00135A0C" w:rsidRPr="007C4A7E">
        <w:rPr>
          <w:rFonts w:cs="Arial"/>
          <w:bCs/>
          <w:i/>
          <w:iCs/>
          <w:szCs w:val="22"/>
        </w:rPr>
        <w:t>are</w:t>
      </w:r>
      <w:r w:rsidR="00CD4D18" w:rsidRPr="007C4A7E">
        <w:rPr>
          <w:rFonts w:cs="Arial"/>
          <w:bCs/>
          <w:i/>
          <w:iCs/>
          <w:szCs w:val="22"/>
        </w:rPr>
        <w:t>, the root causes</w:t>
      </w:r>
      <w:r w:rsidR="00586936" w:rsidRPr="007C4A7E">
        <w:rPr>
          <w:rFonts w:cs="Arial"/>
          <w:bCs/>
          <w:i/>
          <w:iCs/>
          <w:szCs w:val="22"/>
        </w:rPr>
        <w:t xml:space="preserve"> of malnutrition</w:t>
      </w:r>
      <w:r w:rsidR="00CD4D18" w:rsidRPr="007C4A7E">
        <w:rPr>
          <w:rFonts w:cs="Arial"/>
          <w:bCs/>
          <w:i/>
          <w:iCs/>
          <w:szCs w:val="22"/>
        </w:rPr>
        <w:t xml:space="preserve">, and how to help combat </w:t>
      </w:r>
      <w:r w:rsidR="00586936" w:rsidRPr="007C4A7E">
        <w:rPr>
          <w:rFonts w:cs="Arial"/>
          <w:bCs/>
          <w:i/>
          <w:iCs/>
          <w:szCs w:val="22"/>
        </w:rPr>
        <w:t xml:space="preserve">malnutrition and food insecurity </w:t>
      </w:r>
    </w:p>
    <w:p w14:paraId="14C46619" w14:textId="444D0501" w:rsidR="00A566C2" w:rsidRPr="007C4A7E" w:rsidRDefault="00A566C2" w:rsidP="00531DCE">
      <w:pPr>
        <w:rPr>
          <w:rFonts w:cs="Arial"/>
          <w:b/>
        </w:rPr>
      </w:pPr>
    </w:p>
    <w:p w14:paraId="4D8D8A13" w14:textId="2E41F6EA" w:rsidR="00531DCE" w:rsidRPr="00DB7672" w:rsidRDefault="00ED5D4B" w:rsidP="00531DCE">
      <w:pPr>
        <w:rPr>
          <w:rFonts w:cs="Arial"/>
          <w:b/>
          <w:sz w:val="24"/>
        </w:rPr>
      </w:pPr>
      <w:r w:rsidRPr="00DB7672">
        <w:rPr>
          <w:rFonts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4930411" wp14:editId="07232A15">
            <wp:simplePos x="0" y="0"/>
            <wp:positionH relativeFrom="margin">
              <wp:posOffset>3238500</wp:posOffset>
            </wp:positionH>
            <wp:positionV relativeFrom="paragraph">
              <wp:posOffset>16510</wp:posOffset>
            </wp:positionV>
            <wp:extent cx="2758440" cy="1703705"/>
            <wp:effectExtent l="0" t="0" r="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DCE" w:rsidRPr="052DD8E3">
        <w:rPr>
          <w:rFonts w:cs="Arial"/>
          <w:b/>
          <w:bCs/>
          <w:sz w:val="24"/>
        </w:rPr>
        <w:t xml:space="preserve">National Senior Nutrition Program </w:t>
      </w:r>
    </w:p>
    <w:p w14:paraId="49F6CF32" w14:textId="591EFA2A" w:rsidR="00531DCE" w:rsidRPr="007C4A7E" w:rsidRDefault="00531DCE" w:rsidP="00531DCE">
      <w:pPr>
        <w:rPr>
          <w:rFonts w:cs="Arial"/>
          <w:szCs w:val="22"/>
        </w:rPr>
      </w:pPr>
      <w:r w:rsidRPr="007C4A7E">
        <w:rPr>
          <w:rFonts w:cs="Arial"/>
          <w:szCs w:val="22"/>
        </w:rPr>
        <w:t>The National Senior Nutrition Program</w:t>
      </w:r>
      <w:r w:rsidR="00A84BF7" w:rsidRPr="007C4A7E">
        <w:rPr>
          <w:rFonts w:cs="Arial"/>
          <w:szCs w:val="22"/>
        </w:rPr>
        <w:t xml:space="preserve"> (SNP)</w:t>
      </w:r>
      <w:r w:rsidRPr="007C4A7E">
        <w:rPr>
          <w:rFonts w:cs="Arial"/>
          <w:szCs w:val="22"/>
        </w:rPr>
        <w:t xml:space="preserve"> is funded by the Older Americans Act</w:t>
      </w:r>
      <w:r w:rsidR="00A84BF7" w:rsidRPr="007C4A7E">
        <w:rPr>
          <w:rFonts w:cs="Arial"/>
          <w:szCs w:val="22"/>
        </w:rPr>
        <w:t xml:space="preserve"> (OAA)</w:t>
      </w:r>
      <w:r w:rsidRPr="007C4A7E">
        <w:rPr>
          <w:rFonts w:cs="Arial"/>
          <w:szCs w:val="22"/>
        </w:rPr>
        <w:t xml:space="preserve">. </w:t>
      </w:r>
      <w:r w:rsidR="00344E82" w:rsidRPr="007C4A7E">
        <w:rPr>
          <w:rFonts w:cs="Arial"/>
          <w:szCs w:val="22"/>
        </w:rPr>
        <w:t>The program provides older adults with meals and nutrition services</w:t>
      </w:r>
      <w:r w:rsidR="00524F08" w:rsidRPr="007C4A7E">
        <w:rPr>
          <w:rFonts w:cs="Arial"/>
          <w:szCs w:val="22"/>
        </w:rPr>
        <w:t xml:space="preserve"> and</w:t>
      </w:r>
      <w:r w:rsidR="00344E82" w:rsidRPr="007C4A7E">
        <w:rPr>
          <w:rFonts w:cs="Arial"/>
          <w:szCs w:val="22"/>
        </w:rPr>
        <w:t xml:space="preserve"> </w:t>
      </w:r>
      <w:r w:rsidR="005F3A7B" w:rsidRPr="007C4A7E">
        <w:rPr>
          <w:rFonts w:cs="Arial"/>
          <w:szCs w:val="22"/>
        </w:rPr>
        <w:t xml:space="preserve">promotes </w:t>
      </w:r>
      <w:r w:rsidR="00344E82" w:rsidRPr="007C4A7E">
        <w:rPr>
          <w:rFonts w:cs="Arial"/>
          <w:szCs w:val="22"/>
        </w:rPr>
        <w:t xml:space="preserve">socialization and health and well-being. </w:t>
      </w:r>
      <w:hyperlink r:id="rId13" w:history="1">
        <w:r w:rsidR="008A39E1" w:rsidRPr="00235E86">
          <w:rPr>
            <w:rStyle w:val="Hyperlink"/>
            <w:rFonts w:cs="Arial"/>
            <w:szCs w:val="22"/>
          </w:rPr>
          <w:t>Learn more about the SNP</w:t>
        </w:r>
      </w:hyperlink>
      <w:r w:rsidR="00235E86">
        <w:rPr>
          <w:rFonts w:cs="Arial"/>
          <w:szCs w:val="22"/>
        </w:rPr>
        <w:t>.</w:t>
      </w:r>
    </w:p>
    <w:p w14:paraId="1C779845" w14:textId="77777777" w:rsidR="00344E82" w:rsidRPr="007C4A7E" w:rsidRDefault="00344E82" w:rsidP="00531DCE">
      <w:pPr>
        <w:rPr>
          <w:rFonts w:cs="Arial"/>
          <w:b/>
        </w:rPr>
      </w:pPr>
    </w:p>
    <w:p w14:paraId="33194025" w14:textId="77777777" w:rsidR="00531DCE" w:rsidRPr="00DB7672" w:rsidRDefault="002651D9" w:rsidP="00531DCE">
      <w:pPr>
        <w:rPr>
          <w:rFonts w:cs="Arial"/>
          <w:b/>
          <w:sz w:val="24"/>
        </w:rPr>
      </w:pPr>
      <w:r w:rsidRPr="00DB7672">
        <w:rPr>
          <w:rFonts w:cs="Arial"/>
          <w:b/>
          <w:sz w:val="24"/>
        </w:rPr>
        <w:t xml:space="preserve">What is </w:t>
      </w:r>
      <w:r w:rsidR="00531DCE" w:rsidRPr="00DB7672">
        <w:rPr>
          <w:rFonts w:cs="Arial"/>
          <w:b/>
          <w:sz w:val="24"/>
        </w:rPr>
        <w:t>Malnutrition</w:t>
      </w:r>
      <w:r w:rsidRPr="00DB7672">
        <w:rPr>
          <w:rFonts w:cs="Arial"/>
          <w:b/>
          <w:sz w:val="24"/>
        </w:rPr>
        <w:t>?</w:t>
      </w:r>
    </w:p>
    <w:p w14:paraId="6ABEA44E" w14:textId="23BEE538" w:rsidR="00531DCE" w:rsidRPr="007C4A7E" w:rsidRDefault="00531DCE" w:rsidP="00531DCE">
      <w:pPr>
        <w:rPr>
          <w:rFonts w:cs="Arial"/>
          <w:b/>
        </w:rPr>
      </w:pPr>
      <w:r w:rsidRPr="007C4A7E">
        <w:rPr>
          <w:rFonts w:cs="Arial"/>
        </w:rPr>
        <w:t xml:space="preserve">Malnutrition is </w:t>
      </w:r>
      <w:r w:rsidR="00A84BF7" w:rsidRPr="007C4A7E">
        <w:rPr>
          <w:rFonts w:cs="Arial"/>
        </w:rPr>
        <w:t xml:space="preserve">a medical </w:t>
      </w:r>
      <w:r w:rsidRPr="007C4A7E">
        <w:rPr>
          <w:rFonts w:cs="Arial"/>
        </w:rPr>
        <w:t xml:space="preserve">condition </w:t>
      </w:r>
      <w:r w:rsidR="005F3A7B" w:rsidRPr="007C4A7E">
        <w:rPr>
          <w:rFonts w:cs="Arial"/>
        </w:rPr>
        <w:t>that involves</w:t>
      </w:r>
      <w:r w:rsidR="00DF7A7E" w:rsidRPr="007C4A7E">
        <w:rPr>
          <w:rFonts w:cs="Arial"/>
        </w:rPr>
        <w:t xml:space="preserve"> an imbalance </w:t>
      </w:r>
      <w:r w:rsidR="00A84BF7" w:rsidRPr="007C4A7E">
        <w:rPr>
          <w:rFonts w:cs="Arial"/>
        </w:rPr>
        <w:t xml:space="preserve">in a person’s </w:t>
      </w:r>
      <w:r w:rsidR="00DF7A7E" w:rsidRPr="007C4A7E">
        <w:rPr>
          <w:rFonts w:cs="Arial"/>
        </w:rPr>
        <w:t>nutrition</w:t>
      </w:r>
      <w:r w:rsidR="00A84BF7" w:rsidRPr="007C4A7E">
        <w:rPr>
          <w:rFonts w:cs="Arial"/>
        </w:rPr>
        <w:t>al health</w:t>
      </w:r>
      <w:r w:rsidRPr="007C4A7E">
        <w:rPr>
          <w:rFonts w:cs="Arial"/>
        </w:rPr>
        <w:t xml:space="preserve">. </w:t>
      </w:r>
      <w:r w:rsidR="00EF3F6C" w:rsidRPr="007C4A7E">
        <w:rPr>
          <w:rFonts w:cs="Arial"/>
        </w:rPr>
        <w:t>It may be related to either under-nutrition or over-nutrition.</w:t>
      </w:r>
      <w:r w:rsidR="00DF7A7E" w:rsidRPr="007C4A7E">
        <w:rPr>
          <w:rFonts w:cs="Arial"/>
        </w:rPr>
        <w:t xml:space="preserve"> Malnutrition often </w:t>
      </w:r>
      <w:r w:rsidR="00524F08" w:rsidRPr="007C4A7E">
        <w:rPr>
          <w:rFonts w:cs="Arial"/>
        </w:rPr>
        <w:t xml:space="preserve">goes </w:t>
      </w:r>
      <w:r w:rsidR="00DF7A7E" w:rsidRPr="007C4A7E">
        <w:rPr>
          <w:rFonts w:cs="Arial"/>
        </w:rPr>
        <w:t>undetected and leads to a</w:t>
      </w:r>
      <w:r w:rsidR="00524F08" w:rsidRPr="007C4A7E">
        <w:rPr>
          <w:rFonts w:cs="Arial"/>
        </w:rPr>
        <w:t>n</w:t>
      </w:r>
      <w:r w:rsidR="00DF7A7E" w:rsidRPr="007C4A7E">
        <w:rPr>
          <w:rFonts w:cs="Arial"/>
        </w:rPr>
        <w:t xml:space="preserve"> </w:t>
      </w:r>
      <w:r w:rsidR="00524F08" w:rsidRPr="007C4A7E">
        <w:rPr>
          <w:rFonts w:cs="Arial"/>
        </w:rPr>
        <w:t>increase</w:t>
      </w:r>
      <w:r w:rsidR="00633D69" w:rsidRPr="007C4A7E">
        <w:rPr>
          <w:rFonts w:cs="Arial"/>
        </w:rPr>
        <w:t>d</w:t>
      </w:r>
      <w:r w:rsidR="00524F08" w:rsidRPr="007C4A7E">
        <w:rPr>
          <w:rFonts w:cs="Arial"/>
        </w:rPr>
        <w:t xml:space="preserve"> </w:t>
      </w:r>
      <w:r w:rsidR="00DF7A7E" w:rsidRPr="007C4A7E">
        <w:rPr>
          <w:rFonts w:cs="Arial"/>
        </w:rPr>
        <w:t xml:space="preserve">risk of illness, falls, and poor quality of life. </w:t>
      </w:r>
    </w:p>
    <w:p w14:paraId="2EB22E83" w14:textId="77777777" w:rsidR="00531DCE" w:rsidRPr="007C4A7E" w:rsidRDefault="00531DCE" w:rsidP="00531DCE">
      <w:pPr>
        <w:rPr>
          <w:rFonts w:cs="Arial"/>
          <w:b/>
        </w:rPr>
      </w:pPr>
    </w:p>
    <w:p w14:paraId="04AF19D5" w14:textId="77777777" w:rsidR="00531DCE" w:rsidRPr="00DB7672" w:rsidRDefault="00531DCE" w:rsidP="00531DCE">
      <w:pPr>
        <w:rPr>
          <w:rFonts w:cs="Arial"/>
          <w:b/>
          <w:sz w:val="24"/>
        </w:rPr>
      </w:pPr>
      <w:r w:rsidRPr="00DB7672">
        <w:rPr>
          <w:rFonts w:cs="Arial"/>
          <w:b/>
          <w:sz w:val="24"/>
        </w:rPr>
        <w:t xml:space="preserve">Malnutrition in the Aging Population </w:t>
      </w:r>
    </w:p>
    <w:p w14:paraId="4C7EA35F" w14:textId="4135F41B" w:rsidR="00531DCE" w:rsidRPr="007C4A7E" w:rsidRDefault="00283080" w:rsidP="007C4A7E">
      <w:r w:rsidRPr="007C4A7E">
        <w:t>Malnutrition is a contributing cause of illness and death among older adults.</w:t>
      </w:r>
      <w:r w:rsidR="00894DBD" w:rsidRPr="007C4A7E">
        <w:t xml:space="preserve"> One in two</w:t>
      </w:r>
      <w:r w:rsidR="00531DCE" w:rsidRPr="007C4A7E">
        <w:t xml:space="preserve"> older adults </w:t>
      </w:r>
      <w:r w:rsidR="00AF6175" w:rsidRPr="007C4A7E">
        <w:t xml:space="preserve">are </w:t>
      </w:r>
      <w:r w:rsidR="002C630A" w:rsidRPr="007C4A7E">
        <w:t xml:space="preserve">malnourished or </w:t>
      </w:r>
      <w:r w:rsidR="00531DCE" w:rsidRPr="007C4A7E">
        <w:t>at risk of becoming malnourished</w:t>
      </w:r>
      <w:r w:rsidR="002C630A" w:rsidRPr="007C4A7E">
        <w:t>.</w:t>
      </w:r>
      <w:r w:rsidR="00531DCE" w:rsidRPr="007C4A7E">
        <w:t xml:space="preserve"> </w:t>
      </w:r>
      <w:r w:rsidR="00633D69" w:rsidRPr="007C4A7E">
        <w:t>T</w:t>
      </w:r>
      <w:r w:rsidR="00DF7A7E" w:rsidRPr="007C4A7E">
        <w:t xml:space="preserve">he OAA </w:t>
      </w:r>
      <w:r w:rsidR="00633D0B" w:rsidRPr="007C4A7E">
        <w:t>authorizes</w:t>
      </w:r>
      <w:r w:rsidR="00EF3F6C" w:rsidRPr="007C4A7E">
        <w:t xml:space="preserve"> </w:t>
      </w:r>
      <w:r w:rsidR="00DF7A7E" w:rsidRPr="007C4A7E">
        <w:t>health screenings</w:t>
      </w:r>
      <w:r w:rsidR="00633D0B" w:rsidRPr="007C4A7E">
        <w:t xml:space="preserve"> to include screening for malnutrition</w:t>
      </w:r>
      <w:r w:rsidR="00531DCE" w:rsidRPr="007C4A7E">
        <w:t xml:space="preserve">. </w:t>
      </w:r>
      <w:r w:rsidR="00A84BF7" w:rsidRPr="007C4A7E">
        <w:t>SNPs</w:t>
      </w:r>
      <w:r w:rsidR="00531DCE" w:rsidRPr="007C4A7E">
        <w:t xml:space="preserve"> </w:t>
      </w:r>
      <w:r w:rsidR="00EF3F6C" w:rsidRPr="007C4A7E">
        <w:t>can then</w:t>
      </w:r>
      <w:r w:rsidR="00531DCE" w:rsidRPr="007C4A7E">
        <w:t xml:space="preserve"> refer individuals to</w:t>
      </w:r>
      <w:r w:rsidR="00A84BF7" w:rsidRPr="007C4A7E">
        <w:t xml:space="preserve"> </w:t>
      </w:r>
      <w:r w:rsidR="00EF3F6C" w:rsidRPr="007C4A7E">
        <w:t xml:space="preserve">additional </w:t>
      </w:r>
      <w:r w:rsidR="00A84BF7" w:rsidRPr="007C4A7E">
        <w:t>services, resources</w:t>
      </w:r>
      <w:r w:rsidR="005F3A7B" w:rsidRPr="007C4A7E">
        <w:t>,</w:t>
      </w:r>
      <w:r w:rsidR="00A84BF7" w:rsidRPr="007C4A7E">
        <w:t xml:space="preserve"> and programs to</w:t>
      </w:r>
      <w:r w:rsidR="00531DCE" w:rsidRPr="007C4A7E">
        <w:t xml:space="preserve"> </w:t>
      </w:r>
      <w:r w:rsidR="00EF3F6C" w:rsidRPr="007C4A7E">
        <w:t>improve</w:t>
      </w:r>
      <w:r w:rsidR="00531DCE" w:rsidRPr="007C4A7E">
        <w:t xml:space="preserve"> their nutrition</w:t>
      </w:r>
      <w:r w:rsidR="00A84BF7" w:rsidRPr="007C4A7E">
        <w:t>al health</w:t>
      </w:r>
      <w:r w:rsidR="00531DCE" w:rsidRPr="007C4A7E">
        <w:t xml:space="preserve">. </w:t>
      </w:r>
    </w:p>
    <w:p w14:paraId="314E46AF" w14:textId="77777777" w:rsidR="00531DCE" w:rsidRPr="007C4A7E" w:rsidRDefault="00531DCE" w:rsidP="00531DCE">
      <w:pPr>
        <w:rPr>
          <w:rFonts w:cs="Arial"/>
          <w:b/>
        </w:rPr>
      </w:pPr>
    </w:p>
    <w:p w14:paraId="22FA72E1" w14:textId="51ED73D9" w:rsidR="00EF3F6C" w:rsidRPr="00DB7672" w:rsidRDefault="00EF3F6C" w:rsidP="00EF3F6C">
      <w:pPr>
        <w:rPr>
          <w:rFonts w:cs="Arial"/>
          <w:b/>
          <w:sz w:val="24"/>
        </w:rPr>
      </w:pPr>
      <w:r w:rsidRPr="00DB7672">
        <w:rPr>
          <w:rFonts w:cs="Arial"/>
          <w:b/>
          <w:sz w:val="24"/>
        </w:rPr>
        <w:t xml:space="preserve">Presentation Key Points </w:t>
      </w:r>
    </w:p>
    <w:p w14:paraId="7D15EA44" w14:textId="77777777" w:rsidR="00EF3F6C" w:rsidRPr="007C4A7E" w:rsidRDefault="00EF3F6C" w:rsidP="00EF3F6C">
      <w:pPr>
        <w:pStyle w:val="ListParagraph"/>
        <w:numPr>
          <w:ilvl w:val="0"/>
          <w:numId w:val="10"/>
        </w:numPr>
        <w:rPr>
          <w:rFonts w:cs="Arial"/>
        </w:rPr>
      </w:pPr>
      <w:r w:rsidRPr="007C4A7E">
        <w:rPr>
          <w:rFonts w:cs="Arial"/>
        </w:rPr>
        <w:t xml:space="preserve">Senior Nutrition Programs should look at the whole person and can identify needs or barriers of the individual and root causes of their malnutrition. </w:t>
      </w:r>
    </w:p>
    <w:p w14:paraId="4CC92C50" w14:textId="6AABA1CC" w:rsidR="00EF3F6C" w:rsidRPr="007C4A7E" w:rsidRDefault="00633D69" w:rsidP="00EF3F6C">
      <w:pPr>
        <w:pStyle w:val="ListParagraph"/>
        <w:numPr>
          <w:ilvl w:val="0"/>
          <w:numId w:val="10"/>
        </w:numPr>
        <w:rPr>
          <w:rFonts w:cs="Arial"/>
        </w:rPr>
      </w:pPr>
      <w:r w:rsidRPr="007C4A7E">
        <w:rPr>
          <w:rFonts w:cs="Arial"/>
        </w:rPr>
        <w:t>When talking about a</w:t>
      </w:r>
      <w:r w:rsidR="00EF3F6C" w:rsidRPr="007C4A7E">
        <w:rPr>
          <w:rFonts w:cs="Arial"/>
        </w:rPr>
        <w:t>ccess to food</w:t>
      </w:r>
      <w:r w:rsidRPr="007C4A7E">
        <w:rPr>
          <w:rFonts w:cs="Arial"/>
        </w:rPr>
        <w:t>, r</w:t>
      </w:r>
      <w:r w:rsidR="00EF3F6C" w:rsidRPr="007C4A7E">
        <w:rPr>
          <w:rFonts w:cs="Arial"/>
        </w:rPr>
        <w:t xml:space="preserve">eframe the conversation to </w:t>
      </w:r>
      <w:r w:rsidRPr="007C4A7E">
        <w:rPr>
          <w:rFonts w:cs="Arial"/>
        </w:rPr>
        <w:t xml:space="preserve">include </w:t>
      </w:r>
      <w:r w:rsidR="002C630A" w:rsidRPr="007C4A7E">
        <w:rPr>
          <w:rFonts w:cs="Arial"/>
        </w:rPr>
        <w:t xml:space="preserve">access to </w:t>
      </w:r>
      <w:r w:rsidR="00EF3F6C" w:rsidRPr="007C4A7E">
        <w:rPr>
          <w:rFonts w:cs="Arial"/>
        </w:rPr>
        <w:t xml:space="preserve">nourishing </w:t>
      </w:r>
      <w:r w:rsidR="002C630A" w:rsidRPr="007C4A7E">
        <w:rPr>
          <w:rFonts w:cs="Arial"/>
        </w:rPr>
        <w:t xml:space="preserve">food </w:t>
      </w:r>
      <w:r w:rsidR="00EF3F6C" w:rsidRPr="007C4A7E">
        <w:rPr>
          <w:rFonts w:cs="Arial"/>
        </w:rPr>
        <w:t xml:space="preserve">rather than just </w:t>
      </w:r>
      <w:r w:rsidR="00611DCB" w:rsidRPr="007C4A7E">
        <w:rPr>
          <w:rFonts w:cs="Arial"/>
        </w:rPr>
        <w:t xml:space="preserve">access to </w:t>
      </w:r>
      <w:r w:rsidR="00EF3F6C" w:rsidRPr="007C4A7E">
        <w:rPr>
          <w:rFonts w:cs="Arial"/>
        </w:rPr>
        <w:t xml:space="preserve">food. </w:t>
      </w:r>
    </w:p>
    <w:p w14:paraId="5CB5CB68" w14:textId="77777777" w:rsidR="00EF3F6C" w:rsidRPr="007C4A7E" w:rsidRDefault="00EF3F6C" w:rsidP="00EF3F6C">
      <w:pPr>
        <w:pStyle w:val="ListParagraph"/>
        <w:numPr>
          <w:ilvl w:val="0"/>
          <w:numId w:val="10"/>
        </w:numPr>
        <w:rPr>
          <w:rFonts w:cs="Arial"/>
        </w:rPr>
      </w:pPr>
      <w:r w:rsidRPr="007C4A7E">
        <w:rPr>
          <w:rFonts w:cs="Arial"/>
        </w:rPr>
        <w:t xml:space="preserve">To help combat malnutrition, screening, accessibility, education, and program intervention should be implemented. </w:t>
      </w:r>
    </w:p>
    <w:p w14:paraId="45494686" w14:textId="77777777" w:rsidR="00EF3F6C" w:rsidRPr="007C4A7E" w:rsidRDefault="00EF3F6C" w:rsidP="00EF3F6C">
      <w:pPr>
        <w:pStyle w:val="ListParagraph"/>
        <w:numPr>
          <w:ilvl w:val="0"/>
          <w:numId w:val="10"/>
        </w:numPr>
        <w:rPr>
          <w:rFonts w:cs="Arial"/>
          <w:bCs/>
        </w:rPr>
      </w:pPr>
      <w:r w:rsidRPr="007C4A7E">
        <w:rPr>
          <w:rFonts w:cs="Arial"/>
          <w:bCs/>
        </w:rPr>
        <w:t>Perseverance and partnerships pay off.</w:t>
      </w:r>
    </w:p>
    <w:p w14:paraId="2723522E" w14:textId="77777777" w:rsidR="00EF3F6C" w:rsidRPr="007C4A7E" w:rsidRDefault="00EF3F6C" w:rsidP="00EF3F6C">
      <w:pPr>
        <w:pStyle w:val="ListParagraph"/>
        <w:numPr>
          <w:ilvl w:val="0"/>
          <w:numId w:val="10"/>
        </w:numPr>
        <w:rPr>
          <w:rFonts w:cs="Arial"/>
          <w:bCs/>
        </w:rPr>
      </w:pPr>
      <w:r w:rsidRPr="007C4A7E">
        <w:rPr>
          <w:rFonts w:cs="Arial"/>
          <w:bCs/>
        </w:rPr>
        <w:t xml:space="preserve">Visibility, credibility, and involvement in policy efforts are important for success. </w:t>
      </w:r>
    </w:p>
    <w:p w14:paraId="11147DD7" w14:textId="77777777" w:rsidR="00EF3F6C" w:rsidRPr="007C4A7E" w:rsidRDefault="00EF3F6C" w:rsidP="00EF3F6C">
      <w:pPr>
        <w:pStyle w:val="ListParagraph"/>
        <w:numPr>
          <w:ilvl w:val="0"/>
          <w:numId w:val="10"/>
        </w:numPr>
        <w:rPr>
          <w:rFonts w:cs="Arial"/>
          <w:bCs/>
        </w:rPr>
      </w:pPr>
      <w:r w:rsidRPr="007C4A7E">
        <w:rPr>
          <w:rFonts w:cs="Arial"/>
          <w:bCs/>
        </w:rPr>
        <w:t>Dedication to nutrition security for everyone is vital to successfully address malnutrition and food insecurity.</w:t>
      </w:r>
    </w:p>
    <w:p w14:paraId="5A2C4D63" w14:textId="5F321A8C" w:rsidR="00EF3F6C" w:rsidRPr="007C4A7E" w:rsidRDefault="005F3A7B" w:rsidP="00EF3F6C">
      <w:pPr>
        <w:pStyle w:val="ListParagraph"/>
        <w:numPr>
          <w:ilvl w:val="0"/>
          <w:numId w:val="10"/>
        </w:numPr>
        <w:rPr>
          <w:rFonts w:cs="Arial"/>
          <w:bCs/>
        </w:rPr>
      </w:pPr>
      <w:r w:rsidRPr="007C4A7E">
        <w:rPr>
          <w:rFonts w:cs="Arial"/>
          <w:bCs/>
        </w:rPr>
        <w:t>R</w:t>
      </w:r>
      <w:r w:rsidR="00EF3F6C" w:rsidRPr="007C4A7E">
        <w:rPr>
          <w:rFonts w:cs="Arial"/>
          <w:bCs/>
        </w:rPr>
        <w:t xml:space="preserve">ecognition </w:t>
      </w:r>
      <w:r w:rsidR="00A40B82">
        <w:rPr>
          <w:rFonts w:cs="Arial"/>
          <w:bCs/>
        </w:rPr>
        <w:t>of</w:t>
      </w:r>
      <w:r w:rsidR="00245AF0" w:rsidRPr="007C4A7E">
        <w:rPr>
          <w:rFonts w:cs="Arial"/>
          <w:bCs/>
        </w:rPr>
        <w:t xml:space="preserve"> </w:t>
      </w:r>
      <w:r w:rsidR="00EF3F6C" w:rsidRPr="007C4A7E">
        <w:rPr>
          <w:rFonts w:cs="Arial"/>
          <w:bCs/>
        </w:rPr>
        <w:t>the importance of nutrition security</w:t>
      </w:r>
      <w:r w:rsidR="00245AF0" w:rsidRPr="007C4A7E">
        <w:rPr>
          <w:rFonts w:cs="Arial"/>
          <w:bCs/>
        </w:rPr>
        <w:t xml:space="preserve"> is growing</w:t>
      </w:r>
      <w:r w:rsidR="00EF3F6C" w:rsidRPr="007C4A7E">
        <w:rPr>
          <w:rFonts w:cs="Arial"/>
          <w:bCs/>
        </w:rPr>
        <w:t xml:space="preserve">, which </w:t>
      </w:r>
      <w:r w:rsidR="008D3546">
        <w:rPr>
          <w:rFonts w:cs="Arial"/>
          <w:bCs/>
        </w:rPr>
        <w:t>gives rise to</w:t>
      </w:r>
      <w:r w:rsidR="00EF3F6C" w:rsidRPr="007C4A7E">
        <w:rPr>
          <w:rFonts w:cs="Arial"/>
          <w:bCs/>
        </w:rPr>
        <w:t xml:space="preserve"> new challenges and new opportunities. </w:t>
      </w:r>
    </w:p>
    <w:p w14:paraId="70A1B637" w14:textId="77777777" w:rsidR="00EF3F6C" w:rsidRPr="007C4A7E" w:rsidRDefault="00EF3F6C" w:rsidP="00531DCE">
      <w:pPr>
        <w:rPr>
          <w:rFonts w:cs="Arial"/>
          <w:b/>
        </w:rPr>
      </w:pPr>
    </w:p>
    <w:p w14:paraId="06D8415D" w14:textId="77777777" w:rsidR="00531DCE" w:rsidRPr="00DB7672" w:rsidRDefault="00531DCE" w:rsidP="00531DCE">
      <w:pPr>
        <w:rPr>
          <w:rFonts w:cs="Arial"/>
          <w:b/>
          <w:sz w:val="24"/>
        </w:rPr>
      </w:pPr>
      <w:r w:rsidRPr="00DB7672">
        <w:rPr>
          <w:rFonts w:cs="Arial"/>
          <w:b/>
          <w:sz w:val="24"/>
        </w:rPr>
        <w:t xml:space="preserve">Root Causes of Malnutrition </w:t>
      </w:r>
    </w:p>
    <w:p w14:paraId="3150371F" w14:textId="6B611052" w:rsidR="00531DCE" w:rsidRPr="007C4A7E" w:rsidRDefault="00531DCE" w:rsidP="00531DCE">
      <w:pPr>
        <w:rPr>
          <w:rFonts w:cs="Arial"/>
        </w:rPr>
      </w:pPr>
      <w:r w:rsidRPr="007C4A7E">
        <w:rPr>
          <w:rFonts w:cs="Arial"/>
        </w:rPr>
        <w:t>Root causes</w:t>
      </w:r>
      <w:r w:rsidR="00A84BF7" w:rsidRPr="007C4A7E">
        <w:rPr>
          <w:rFonts w:cs="Arial"/>
        </w:rPr>
        <w:t xml:space="preserve"> are </w:t>
      </w:r>
      <w:r w:rsidR="00EF3F6C" w:rsidRPr="007C4A7E">
        <w:rPr>
          <w:rFonts w:cs="Arial"/>
        </w:rPr>
        <w:t>underlying</w:t>
      </w:r>
      <w:r w:rsidR="00A84BF7" w:rsidRPr="007C4A7E">
        <w:rPr>
          <w:rFonts w:cs="Arial"/>
        </w:rPr>
        <w:t xml:space="preserve"> </w:t>
      </w:r>
      <w:r w:rsidR="005E3DF3">
        <w:rPr>
          <w:rFonts w:cs="Arial"/>
        </w:rPr>
        <w:t>factors</w:t>
      </w:r>
      <w:r w:rsidR="00991ED1" w:rsidRPr="007C4A7E">
        <w:rPr>
          <w:rFonts w:cs="Arial"/>
        </w:rPr>
        <w:t xml:space="preserve"> </w:t>
      </w:r>
      <w:r w:rsidR="00245AF0" w:rsidRPr="007C4A7E">
        <w:rPr>
          <w:rFonts w:cs="Arial"/>
        </w:rPr>
        <w:t xml:space="preserve">that </w:t>
      </w:r>
      <w:r w:rsidR="00991ED1" w:rsidRPr="007C4A7E">
        <w:rPr>
          <w:rFonts w:cs="Arial"/>
        </w:rPr>
        <w:t>cause an issue</w:t>
      </w:r>
      <w:r w:rsidR="00EF3F6C" w:rsidRPr="007C4A7E">
        <w:rPr>
          <w:rFonts w:cs="Arial"/>
        </w:rPr>
        <w:t>.</w:t>
      </w:r>
      <w:r w:rsidR="00A84BF7" w:rsidRPr="007C4A7E">
        <w:rPr>
          <w:rFonts w:cs="Arial"/>
        </w:rPr>
        <w:t xml:space="preserve"> </w:t>
      </w:r>
      <w:r w:rsidR="00991ED1" w:rsidRPr="007C4A7E">
        <w:rPr>
          <w:rFonts w:cs="Arial"/>
        </w:rPr>
        <w:t xml:space="preserve">Often, there may be more than one root cause. </w:t>
      </w:r>
      <w:r w:rsidR="00807772" w:rsidRPr="007C4A7E">
        <w:rPr>
          <w:rFonts w:cs="Arial"/>
        </w:rPr>
        <w:t xml:space="preserve">The </w:t>
      </w:r>
      <w:r w:rsidR="00A84BF7" w:rsidRPr="007C4A7E">
        <w:rPr>
          <w:rFonts w:cs="Arial"/>
        </w:rPr>
        <w:t>root causes</w:t>
      </w:r>
      <w:r w:rsidRPr="007C4A7E">
        <w:rPr>
          <w:rFonts w:cs="Arial"/>
        </w:rPr>
        <w:t xml:space="preserve"> </w:t>
      </w:r>
      <w:r w:rsidR="00807772" w:rsidRPr="007C4A7E">
        <w:rPr>
          <w:rFonts w:cs="Arial"/>
        </w:rPr>
        <w:t xml:space="preserve">of malnutrition </w:t>
      </w:r>
      <w:r w:rsidRPr="007C4A7E">
        <w:rPr>
          <w:rFonts w:cs="Arial"/>
        </w:rPr>
        <w:t>lead to</w:t>
      </w:r>
      <w:r w:rsidR="00A84BF7" w:rsidRPr="007C4A7E">
        <w:rPr>
          <w:rFonts w:cs="Arial"/>
        </w:rPr>
        <w:t xml:space="preserve"> eating less</w:t>
      </w:r>
      <w:r w:rsidR="00991ED1" w:rsidRPr="007C4A7E">
        <w:rPr>
          <w:rFonts w:cs="Arial"/>
        </w:rPr>
        <w:t xml:space="preserve"> food</w:t>
      </w:r>
      <w:r w:rsidR="00A84BF7" w:rsidRPr="007C4A7E">
        <w:rPr>
          <w:rFonts w:cs="Arial"/>
        </w:rPr>
        <w:t>,</w:t>
      </w:r>
      <w:r w:rsidRPr="007C4A7E">
        <w:rPr>
          <w:rFonts w:cs="Arial"/>
        </w:rPr>
        <w:t xml:space="preserve"> </w:t>
      </w:r>
      <w:r w:rsidR="00A84BF7" w:rsidRPr="007C4A7E">
        <w:rPr>
          <w:rFonts w:cs="Arial"/>
        </w:rPr>
        <w:t xml:space="preserve">lower </w:t>
      </w:r>
      <w:r w:rsidRPr="007C4A7E">
        <w:rPr>
          <w:rFonts w:cs="Arial"/>
        </w:rPr>
        <w:t>absorption</w:t>
      </w:r>
      <w:r w:rsidR="00991ED1" w:rsidRPr="007C4A7E">
        <w:rPr>
          <w:rFonts w:cs="Arial"/>
        </w:rPr>
        <w:t xml:space="preserve"> of the food that is eaten</w:t>
      </w:r>
      <w:r w:rsidRPr="007C4A7E">
        <w:rPr>
          <w:rFonts w:cs="Arial"/>
        </w:rPr>
        <w:t xml:space="preserve">, </w:t>
      </w:r>
      <w:r w:rsidR="00A84BF7" w:rsidRPr="007C4A7E">
        <w:rPr>
          <w:rFonts w:cs="Arial"/>
        </w:rPr>
        <w:t xml:space="preserve">or </w:t>
      </w:r>
      <w:r w:rsidRPr="007C4A7E">
        <w:rPr>
          <w:rFonts w:cs="Arial"/>
        </w:rPr>
        <w:t xml:space="preserve">increased </w:t>
      </w:r>
      <w:r w:rsidR="00A84BF7" w:rsidRPr="007C4A7E">
        <w:rPr>
          <w:rFonts w:cs="Arial"/>
        </w:rPr>
        <w:t>calorie</w:t>
      </w:r>
      <w:r w:rsidRPr="007C4A7E">
        <w:rPr>
          <w:rFonts w:cs="Arial"/>
        </w:rPr>
        <w:t xml:space="preserve"> needs.</w:t>
      </w:r>
      <w:r w:rsidR="00DF7A7E" w:rsidRPr="007C4A7E">
        <w:rPr>
          <w:rFonts w:cs="Arial"/>
        </w:rPr>
        <w:t xml:space="preserve"> Identifying </w:t>
      </w:r>
      <w:r w:rsidR="002651D9" w:rsidRPr="007C4A7E">
        <w:rPr>
          <w:rFonts w:cs="Arial"/>
        </w:rPr>
        <w:t xml:space="preserve">a person’s </w:t>
      </w:r>
      <w:r w:rsidR="00DF7A7E" w:rsidRPr="007C4A7E">
        <w:rPr>
          <w:rFonts w:cs="Arial"/>
        </w:rPr>
        <w:t>root cause</w:t>
      </w:r>
      <w:r w:rsidR="00991ED1" w:rsidRPr="007C4A7E">
        <w:rPr>
          <w:rFonts w:cs="Arial"/>
        </w:rPr>
        <w:t>s</w:t>
      </w:r>
      <w:r w:rsidR="00DF7A7E" w:rsidRPr="007C4A7E">
        <w:rPr>
          <w:rFonts w:cs="Arial"/>
        </w:rPr>
        <w:t xml:space="preserve"> of malnutrition </w:t>
      </w:r>
      <w:r w:rsidR="002651D9" w:rsidRPr="007C4A7E">
        <w:rPr>
          <w:rFonts w:cs="Arial"/>
        </w:rPr>
        <w:t xml:space="preserve">helps determine </w:t>
      </w:r>
      <w:r w:rsidR="00A84BF7" w:rsidRPr="007C4A7E">
        <w:rPr>
          <w:rFonts w:cs="Arial"/>
        </w:rPr>
        <w:t xml:space="preserve">the best way to assist them and promote </w:t>
      </w:r>
      <w:r w:rsidR="00342C92" w:rsidRPr="007C4A7E">
        <w:rPr>
          <w:rFonts w:cs="Arial"/>
        </w:rPr>
        <w:t xml:space="preserve">their overall </w:t>
      </w:r>
      <w:r w:rsidR="00A84BF7" w:rsidRPr="007C4A7E">
        <w:rPr>
          <w:rFonts w:cs="Arial"/>
        </w:rPr>
        <w:t>healt</w:t>
      </w:r>
      <w:r w:rsidR="00342C92" w:rsidRPr="007C4A7E">
        <w:rPr>
          <w:rFonts w:cs="Arial"/>
        </w:rPr>
        <w:t>h</w:t>
      </w:r>
      <w:r w:rsidR="002C630A" w:rsidRPr="007C4A7E">
        <w:rPr>
          <w:rFonts w:cs="Arial"/>
        </w:rPr>
        <w:t xml:space="preserve">. </w:t>
      </w:r>
    </w:p>
    <w:p w14:paraId="05BC04DE" w14:textId="19135B7E" w:rsidR="00DF7A7E" w:rsidRPr="007C4A7E" w:rsidRDefault="00DF7A7E" w:rsidP="00531DCE">
      <w:pPr>
        <w:rPr>
          <w:rFonts w:cs="Arial"/>
        </w:rPr>
      </w:pPr>
    </w:p>
    <w:p w14:paraId="2F218BC7" w14:textId="77777777" w:rsidR="00BD250F" w:rsidRDefault="00BD250F">
      <w:pPr>
        <w:rPr>
          <w:rFonts w:cs="Arial"/>
          <w:b/>
          <w:bCs/>
          <w:color w:val="333333"/>
          <w:shd w:val="clear" w:color="auto" w:fill="FFFFFF"/>
        </w:rPr>
      </w:pPr>
      <w:r>
        <w:rPr>
          <w:rFonts w:cs="Arial"/>
          <w:b/>
          <w:bCs/>
          <w:color w:val="333333"/>
          <w:shd w:val="clear" w:color="auto" w:fill="FFFFFF"/>
        </w:rPr>
        <w:br w:type="page"/>
      </w:r>
    </w:p>
    <w:p w14:paraId="3A125EEE" w14:textId="710A31B3" w:rsidR="002431F5" w:rsidRPr="002431F5" w:rsidRDefault="002431F5" w:rsidP="00531DCE">
      <w:pPr>
        <w:rPr>
          <w:rFonts w:cs="Arial"/>
          <w:b/>
          <w:bCs/>
          <w:color w:val="333333"/>
          <w:shd w:val="clear" w:color="auto" w:fill="FFFFFF"/>
        </w:rPr>
      </w:pPr>
      <w:r w:rsidRPr="002431F5">
        <w:rPr>
          <w:rFonts w:cs="Arial"/>
          <w:b/>
          <w:bCs/>
          <w:color w:val="333333"/>
          <w:shd w:val="clear" w:color="auto" w:fill="FFFFFF"/>
        </w:rPr>
        <w:lastRenderedPageBreak/>
        <w:t>Determinants of Malnutrition in Aged Persons (DoMAP) Model</w:t>
      </w:r>
    </w:p>
    <w:p w14:paraId="58D3089C" w14:textId="7F58BD52" w:rsidR="007D45C5" w:rsidRDefault="007D45C5" w:rsidP="007D45C5">
      <w:pPr>
        <w:rPr>
          <w:rFonts w:cs="Arial"/>
        </w:rPr>
      </w:pPr>
      <w:r>
        <w:rPr>
          <w:rFonts w:cs="Arial"/>
        </w:rPr>
        <w:t>This</w:t>
      </w:r>
      <w:r w:rsidRPr="004063FB">
        <w:rPr>
          <w:rFonts w:cs="Arial"/>
          <w:b/>
          <w:bCs/>
        </w:rPr>
        <w:t xml:space="preserve"> </w:t>
      </w:r>
      <w:hyperlink r:id="rId14" w:history="1">
        <w:r>
          <w:rPr>
            <w:rStyle w:val="Hyperlink"/>
            <w:rFonts w:cs="Arial"/>
            <w:b/>
            <w:bCs/>
          </w:rPr>
          <w:t>D</w:t>
        </w:r>
        <w:r w:rsidR="009A2CFE">
          <w:rPr>
            <w:rStyle w:val="Hyperlink"/>
            <w:rFonts w:cs="Arial"/>
            <w:b/>
            <w:bCs/>
          </w:rPr>
          <w:t>eterminants of Malnutrition in Aged Persons (D</w:t>
        </w:r>
        <w:r>
          <w:rPr>
            <w:rStyle w:val="Hyperlink"/>
            <w:rFonts w:cs="Arial"/>
            <w:b/>
            <w:bCs/>
          </w:rPr>
          <w:t>oMAP</w:t>
        </w:r>
        <w:r w:rsidR="0022032A">
          <w:rPr>
            <w:rStyle w:val="Hyperlink"/>
            <w:rFonts w:cs="Arial"/>
            <w:b/>
            <w:bCs/>
          </w:rPr>
          <w:t>)</w:t>
        </w:r>
        <w:r>
          <w:rPr>
            <w:rStyle w:val="Hyperlink"/>
            <w:rFonts w:cs="Arial"/>
            <w:b/>
            <w:bCs/>
          </w:rPr>
          <w:t xml:space="preserve"> f</w:t>
        </w:r>
        <w:r w:rsidRPr="004063FB">
          <w:rPr>
            <w:rStyle w:val="Hyperlink"/>
            <w:rFonts w:cs="Arial"/>
            <w:b/>
            <w:bCs/>
          </w:rPr>
          <w:t>ramework diagram</w:t>
        </w:r>
      </w:hyperlink>
      <w:r w:rsidR="00127D74">
        <w:rPr>
          <w:rFonts w:cs="Arial"/>
        </w:rPr>
        <w:t xml:space="preserve">, </w:t>
      </w:r>
      <w:r>
        <w:rPr>
          <w:rFonts w:cs="Arial"/>
        </w:rPr>
        <w:t xml:space="preserve">described in detail in the journal </w:t>
      </w:r>
      <w:hyperlink r:id="rId15" w:history="1">
        <w:r w:rsidRPr="005C79BD">
          <w:rPr>
            <w:rStyle w:val="Hyperlink"/>
            <w:rFonts w:cs="Arial"/>
          </w:rPr>
          <w:t>Gerontology and Geriatric Medicine</w:t>
        </w:r>
      </w:hyperlink>
      <w:r>
        <w:rPr>
          <w:rFonts w:cs="Arial"/>
        </w:rPr>
        <w:t>, illustrates many</w:t>
      </w:r>
      <w:r w:rsidRPr="004063FB">
        <w:rPr>
          <w:rFonts w:cs="Arial"/>
        </w:rPr>
        <w:t xml:space="preserve"> </w:t>
      </w:r>
      <w:r>
        <w:rPr>
          <w:rFonts w:cs="Arial"/>
        </w:rPr>
        <w:t xml:space="preserve">potential factors that </w:t>
      </w:r>
      <w:r w:rsidRPr="004063FB">
        <w:rPr>
          <w:rFonts w:cs="Arial"/>
        </w:rPr>
        <w:t xml:space="preserve">may contribute to </w:t>
      </w:r>
      <w:r>
        <w:rPr>
          <w:rFonts w:cs="Arial"/>
        </w:rPr>
        <w:t>malnutrition</w:t>
      </w:r>
      <w:r w:rsidR="0022032A">
        <w:rPr>
          <w:rFonts w:cs="Arial"/>
        </w:rPr>
        <w:t>. These factors can be generalized as</w:t>
      </w:r>
      <w:r w:rsidRPr="004063FB">
        <w:rPr>
          <w:rFonts w:cs="Arial"/>
        </w:rPr>
        <w:t xml:space="preserve">: </w:t>
      </w:r>
    </w:p>
    <w:p w14:paraId="3F425C87" w14:textId="2DD52423" w:rsidR="007D45C5" w:rsidRDefault="0022032A" w:rsidP="007D45C5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Level 1</w:t>
      </w:r>
      <w:r w:rsidR="009A2CFE">
        <w:rPr>
          <w:rFonts w:cs="Arial"/>
        </w:rPr>
        <w:t xml:space="preserve"> –</w:t>
      </w:r>
      <w:r>
        <w:rPr>
          <w:rFonts w:cs="Arial"/>
        </w:rPr>
        <w:t xml:space="preserve"> Core issues which lead directly to malnutrition (e</w:t>
      </w:r>
      <w:r w:rsidR="009A2CFE">
        <w:rPr>
          <w:rFonts w:cs="Arial"/>
        </w:rPr>
        <w:t>.</w:t>
      </w:r>
      <w:r>
        <w:rPr>
          <w:rFonts w:cs="Arial"/>
        </w:rPr>
        <w:t>g</w:t>
      </w:r>
      <w:r w:rsidR="009A2CFE">
        <w:rPr>
          <w:rFonts w:cs="Arial"/>
        </w:rPr>
        <w:t>.</w:t>
      </w:r>
      <w:r>
        <w:rPr>
          <w:rFonts w:cs="Arial"/>
        </w:rPr>
        <w:t>, low food intake, increased nutritional requirements)</w:t>
      </w:r>
    </w:p>
    <w:p w14:paraId="476AC670" w14:textId="59C9BDBA" w:rsidR="0022032A" w:rsidRDefault="0022032A" w:rsidP="007D45C5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Level 2 –</w:t>
      </w:r>
      <w:r w:rsidR="009A2CFE">
        <w:rPr>
          <w:rFonts w:cs="Arial"/>
        </w:rPr>
        <w:t xml:space="preserve"> C</w:t>
      </w:r>
      <w:r>
        <w:rPr>
          <w:rFonts w:cs="Arial"/>
        </w:rPr>
        <w:t>ause Level 1</w:t>
      </w:r>
      <w:r w:rsidR="003844F2">
        <w:rPr>
          <w:rFonts w:cs="Arial"/>
        </w:rPr>
        <w:t xml:space="preserve"> determinants (</w:t>
      </w:r>
      <w:r w:rsidR="00BD250F">
        <w:rPr>
          <w:rFonts w:cs="Arial"/>
        </w:rPr>
        <w:t xml:space="preserve">e.g., </w:t>
      </w:r>
      <w:r w:rsidR="003844F2">
        <w:rPr>
          <w:rFonts w:cs="Arial"/>
        </w:rPr>
        <w:t>lack of food, difficulty with shopping</w:t>
      </w:r>
      <w:r w:rsidR="00C11543">
        <w:rPr>
          <w:rFonts w:cs="Arial"/>
        </w:rPr>
        <w:t>/</w:t>
      </w:r>
      <w:r w:rsidR="003844F2">
        <w:rPr>
          <w:rFonts w:cs="Arial"/>
        </w:rPr>
        <w:t>preparing meals</w:t>
      </w:r>
      <w:r w:rsidR="00C11543">
        <w:rPr>
          <w:rFonts w:cs="Arial"/>
        </w:rPr>
        <w:t>/</w:t>
      </w:r>
      <w:r w:rsidR="003844F2">
        <w:rPr>
          <w:rFonts w:cs="Arial"/>
        </w:rPr>
        <w:t>eating</w:t>
      </w:r>
      <w:r w:rsidR="00BD250F">
        <w:rPr>
          <w:rFonts w:cs="Arial"/>
        </w:rPr>
        <w:t>)</w:t>
      </w:r>
    </w:p>
    <w:p w14:paraId="284385EC" w14:textId="5D7A323C" w:rsidR="003844F2" w:rsidRPr="00BD250F" w:rsidRDefault="003844F2" w:rsidP="00BD250F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 xml:space="preserve">Level 3 </w:t>
      </w:r>
      <w:r w:rsidR="00BD250F">
        <w:rPr>
          <w:rFonts w:cs="Arial"/>
        </w:rPr>
        <w:t>–</w:t>
      </w:r>
      <w:r>
        <w:rPr>
          <w:rFonts w:cs="Arial"/>
        </w:rPr>
        <w:t xml:space="preserve"> </w:t>
      </w:r>
      <w:r w:rsidR="009A2CFE">
        <w:rPr>
          <w:rFonts w:cs="Arial"/>
        </w:rPr>
        <w:t>C</w:t>
      </w:r>
      <w:r>
        <w:rPr>
          <w:rFonts w:cs="Arial"/>
        </w:rPr>
        <w:t>ause Level 2 determinants (</w:t>
      </w:r>
      <w:r w:rsidR="00BD250F">
        <w:rPr>
          <w:rFonts w:cs="Arial"/>
        </w:rPr>
        <w:t xml:space="preserve">e.g., </w:t>
      </w:r>
      <w:r>
        <w:rPr>
          <w:rFonts w:cs="Arial"/>
        </w:rPr>
        <w:t>pain, dementia, poor dentition)</w:t>
      </w:r>
    </w:p>
    <w:p w14:paraId="4993353D" w14:textId="59AD8668" w:rsidR="003844F2" w:rsidRPr="004063FB" w:rsidRDefault="003844F2" w:rsidP="007D45C5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 xml:space="preserve">Level 4 </w:t>
      </w:r>
      <w:r w:rsidR="00BD250F">
        <w:rPr>
          <w:rFonts w:cs="Arial"/>
        </w:rPr>
        <w:t xml:space="preserve">– </w:t>
      </w:r>
      <w:r w:rsidR="009A2CFE">
        <w:rPr>
          <w:rFonts w:cs="Arial"/>
        </w:rPr>
        <w:t>C</w:t>
      </w:r>
      <w:r>
        <w:rPr>
          <w:rFonts w:cs="Arial"/>
        </w:rPr>
        <w:t>ause Level 3 determinants (</w:t>
      </w:r>
      <w:r w:rsidR="00BD250F">
        <w:rPr>
          <w:rFonts w:cs="Arial"/>
        </w:rPr>
        <w:t xml:space="preserve">e.g., </w:t>
      </w:r>
      <w:r>
        <w:rPr>
          <w:rFonts w:cs="Arial"/>
        </w:rPr>
        <w:t>frailty, older age, age-related functional decline)</w:t>
      </w:r>
    </w:p>
    <w:p w14:paraId="11ED39D7" w14:textId="77777777" w:rsidR="002651D9" w:rsidRPr="007C4A7E" w:rsidRDefault="002651D9" w:rsidP="00531DCE">
      <w:pPr>
        <w:rPr>
          <w:rFonts w:cs="Arial"/>
          <w:b/>
        </w:rPr>
      </w:pPr>
    </w:p>
    <w:p w14:paraId="663F5CAC" w14:textId="77777777" w:rsidR="00AF6175" w:rsidRPr="00DB7672" w:rsidRDefault="00342C92" w:rsidP="00531DCE">
      <w:pPr>
        <w:rPr>
          <w:rFonts w:cs="Arial"/>
          <w:b/>
          <w:sz w:val="24"/>
        </w:rPr>
      </w:pPr>
      <w:r w:rsidRPr="00DB7672">
        <w:rPr>
          <w:rFonts w:cs="Arial"/>
          <w:b/>
          <w:i/>
          <w:iCs/>
          <w:sz w:val="24"/>
        </w:rPr>
        <w:t>“</w:t>
      </w:r>
      <w:r w:rsidR="000F3BC0" w:rsidRPr="00DB7672">
        <w:rPr>
          <w:rFonts w:cs="Arial"/>
          <w:b/>
          <w:i/>
          <w:iCs/>
          <w:sz w:val="24"/>
        </w:rPr>
        <w:t>Enhanced</w:t>
      </w:r>
      <w:r w:rsidRPr="00DB7672">
        <w:rPr>
          <w:rFonts w:cs="Arial"/>
          <w:b/>
          <w:i/>
          <w:iCs/>
          <w:sz w:val="24"/>
        </w:rPr>
        <w:t>”</w:t>
      </w:r>
      <w:r w:rsidR="000F3BC0" w:rsidRPr="00DB7672">
        <w:rPr>
          <w:rFonts w:cs="Arial"/>
          <w:b/>
          <w:i/>
          <w:iCs/>
          <w:sz w:val="24"/>
        </w:rPr>
        <w:t xml:space="preserve"> </w:t>
      </w:r>
      <w:r w:rsidR="000F3BC0" w:rsidRPr="00DB7672">
        <w:rPr>
          <w:rFonts w:cs="Arial"/>
          <w:b/>
          <w:sz w:val="24"/>
        </w:rPr>
        <w:t>DETERMINE</w:t>
      </w:r>
      <w:r w:rsidR="00531DCE" w:rsidRPr="00DB7672">
        <w:rPr>
          <w:rFonts w:cs="Arial"/>
          <w:b/>
          <w:sz w:val="24"/>
        </w:rPr>
        <w:t xml:space="preserve"> Checklist </w:t>
      </w:r>
      <w:r w:rsidR="00A82A22" w:rsidRPr="00DB7672">
        <w:rPr>
          <w:rFonts w:cs="Arial"/>
          <w:b/>
          <w:sz w:val="24"/>
        </w:rPr>
        <w:t xml:space="preserve">to Address Malnutrition </w:t>
      </w:r>
    </w:p>
    <w:p w14:paraId="637AB23B" w14:textId="3F82670A" w:rsidR="00245AF0" w:rsidRPr="007C4A7E" w:rsidRDefault="002651D9" w:rsidP="00A566C2">
      <w:pPr>
        <w:pStyle w:val="NormalWeb"/>
        <w:spacing w:before="0" w:beforeAutospacing="0" w:after="0" w:afterAutospacing="0"/>
        <w:rPr>
          <w:rFonts w:ascii="Arial" w:eastAsiaTheme="minorHAnsi" w:hAnsi="Arial" w:cs="Arial"/>
        </w:rPr>
      </w:pPr>
      <w:r w:rsidRPr="007C4A7E">
        <w:rPr>
          <w:rFonts w:ascii="Arial" w:eastAsiaTheme="minorHAnsi" w:hAnsi="Arial" w:cs="Arial"/>
        </w:rPr>
        <w:t>The DETERMINE checklist was created</w:t>
      </w:r>
      <w:r w:rsidR="00A566C2" w:rsidRPr="007C4A7E">
        <w:rPr>
          <w:rFonts w:ascii="Arial" w:eastAsiaTheme="minorHAnsi" w:hAnsi="Arial" w:cs="Arial"/>
        </w:rPr>
        <w:t xml:space="preserve"> </w:t>
      </w:r>
      <w:r w:rsidRPr="007C4A7E">
        <w:rPr>
          <w:rFonts w:ascii="Arial" w:eastAsiaTheme="minorHAnsi" w:hAnsi="Arial" w:cs="Arial"/>
        </w:rPr>
        <w:t>t</w:t>
      </w:r>
      <w:r w:rsidR="00A566C2" w:rsidRPr="007C4A7E">
        <w:rPr>
          <w:rFonts w:ascii="Arial" w:eastAsiaTheme="minorHAnsi" w:hAnsi="Arial" w:cs="Arial"/>
        </w:rPr>
        <w:t xml:space="preserve">o </w:t>
      </w:r>
      <w:r w:rsidR="00AF79B7" w:rsidRPr="007C4A7E">
        <w:rPr>
          <w:rFonts w:ascii="Arial" w:eastAsiaTheme="minorHAnsi" w:hAnsi="Arial" w:cs="Arial"/>
        </w:rPr>
        <w:t xml:space="preserve">screen for </w:t>
      </w:r>
      <w:r w:rsidR="00F736C9" w:rsidRPr="007C4A7E">
        <w:rPr>
          <w:rFonts w:ascii="Arial" w:eastAsiaTheme="minorHAnsi" w:hAnsi="Arial" w:cs="Arial"/>
        </w:rPr>
        <w:t>nutritional risk</w:t>
      </w:r>
      <w:r w:rsidR="00BC0130" w:rsidRPr="007C4A7E">
        <w:rPr>
          <w:rFonts w:ascii="Arial" w:eastAsiaTheme="minorHAnsi" w:hAnsi="Arial" w:cs="Arial"/>
        </w:rPr>
        <w:t>. Th</w:t>
      </w:r>
      <w:r w:rsidR="00807772" w:rsidRPr="007C4A7E">
        <w:rPr>
          <w:rFonts w:ascii="Arial" w:eastAsiaTheme="minorHAnsi" w:hAnsi="Arial" w:cs="Arial"/>
        </w:rPr>
        <w:t>is</w:t>
      </w:r>
      <w:r w:rsidR="00BC0130" w:rsidRPr="007C4A7E">
        <w:rPr>
          <w:rFonts w:ascii="Arial" w:eastAsiaTheme="minorHAnsi" w:hAnsi="Arial" w:cs="Arial"/>
        </w:rPr>
        <w:t xml:space="preserve"> </w:t>
      </w:r>
      <w:r w:rsidR="00633D0B" w:rsidRPr="007C4A7E">
        <w:rPr>
          <w:rFonts w:ascii="Arial" w:eastAsiaTheme="minorHAnsi" w:hAnsi="Arial" w:cs="Arial"/>
        </w:rPr>
        <w:t xml:space="preserve">screening </w:t>
      </w:r>
      <w:r w:rsidR="00BC0130" w:rsidRPr="007C4A7E">
        <w:rPr>
          <w:rFonts w:ascii="Arial" w:eastAsiaTheme="minorHAnsi" w:hAnsi="Arial" w:cs="Arial"/>
        </w:rPr>
        <w:t>checklist</w:t>
      </w:r>
      <w:r w:rsidR="00AF79B7" w:rsidRPr="007C4A7E">
        <w:rPr>
          <w:rFonts w:ascii="Arial" w:eastAsiaTheme="minorHAnsi" w:hAnsi="Arial" w:cs="Arial"/>
        </w:rPr>
        <w:t xml:space="preserve"> is used throughout the United States</w:t>
      </w:r>
      <w:r w:rsidR="00F736C9" w:rsidRPr="007C4A7E">
        <w:rPr>
          <w:rFonts w:ascii="Arial" w:eastAsiaTheme="minorHAnsi" w:hAnsi="Arial" w:cs="Arial"/>
        </w:rPr>
        <w:t>, including by OAA organizations</w:t>
      </w:r>
      <w:r w:rsidR="00AF79B7" w:rsidRPr="007C4A7E">
        <w:rPr>
          <w:rFonts w:ascii="Arial" w:eastAsiaTheme="minorHAnsi" w:hAnsi="Arial" w:cs="Arial"/>
        </w:rPr>
        <w:t>.</w:t>
      </w:r>
    </w:p>
    <w:p w14:paraId="2B34A4A0" w14:textId="77777777" w:rsidR="00245AF0" w:rsidRPr="007C4A7E" w:rsidRDefault="00245AF0" w:rsidP="00A566C2">
      <w:pPr>
        <w:pStyle w:val="NormalWeb"/>
        <w:spacing w:before="0" w:beforeAutospacing="0" w:after="0" w:afterAutospacing="0"/>
        <w:rPr>
          <w:rFonts w:ascii="Arial" w:eastAsiaTheme="minorHAnsi" w:hAnsi="Arial" w:cs="Arial"/>
        </w:rPr>
      </w:pPr>
    </w:p>
    <w:p w14:paraId="03DA8C13" w14:textId="21A3BCF1" w:rsidR="005940C7" w:rsidRPr="007C4A7E" w:rsidRDefault="0019677A" w:rsidP="002F61B5">
      <w:pPr>
        <w:rPr>
          <w:rFonts w:cs="Arial"/>
        </w:rPr>
      </w:pPr>
      <w:r>
        <w:t xml:space="preserve">The Greater Wisconsin </w:t>
      </w:r>
      <w:hyperlink r:id="rId16" w:history="1">
        <w:r w:rsidR="007847CA" w:rsidRPr="00C774B1">
          <w:rPr>
            <w:rStyle w:val="Hyperlink"/>
          </w:rPr>
          <w:t>Agency</w:t>
        </w:r>
      </w:hyperlink>
      <w:r w:rsidR="007847CA">
        <w:t xml:space="preserve"> on Aging Resources, Inc</w:t>
      </w:r>
      <w:r w:rsidR="00C774B1">
        <w:t xml:space="preserve">. </w:t>
      </w:r>
      <w:r w:rsidR="00342C92" w:rsidRPr="007C4A7E">
        <w:t xml:space="preserve">has </w:t>
      </w:r>
      <w:r w:rsidR="00F736C9" w:rsidRPr="007C4A7E">
        <w:t>developed</w:t>
      </w:r>
      <w:r w:rsidR="00AF79B7" w:rsidRPr="007C4A7E">
        <w:t xml:space="preserve"> </w:t>
      </w:r>
      <w:hyperlink r:id="rId17" w:history="1">
        <w:r w:rsidR="00AF79B7" w:rsidRPr="002F61B5">
          <w:rPr>
            <w:rStyle w:val="Hyperlink"/>
          </w:rPr>
          <w:t xml:space="preserve">an </w:t>
        </w:r>
        <w:r w:rsidR="00F736C9" w:rsidRPr="002F61B5">
          <w:rPr>
            <w:rStyle w:val="Hyperlink"/>
          </w:rPr>
          <w:t>“</w:t>
        </w:r>
        <w:r w:rsidR="00F736C9" w:rsidRPr="002F61B5">
          <w:rPr>
            <w:rStyle w:val="Hyperlink"/>
            <w:i/>
            <w:iCs/>
          </w:rPr>
          <w:t>E</w:t>
        </w:r>
        <w:r w:rsidR="00AF79B7" w:rsidRPr="002F61B5">
          <w:rPr>
            <w:rStyle w:val="Hyperlink"/>
            <w:i/>
            <w:iCs/>
          </w:rPr>
          <w:t>nhanced</w:t>
        </w:r>
        <w:r w:rsidR="00F736C9" w:rsidRPr="002F61B5">
          <w:rPr>
            <w:rStyle w:val="Hyperlink"/>
          </w:rPr>
          <w:t>”</w:t>
        </w:r>
        <w:r w:rsidR="00AF79B7" w:rsidRPr="002F61B5">
          <w:rPr>
            <w:rStyle w:val="Hyperlink"/>
          </w:rPr>
          <w:t xml:space="preserve"> DETERMINE checklist</w:t>
        </w:r>
      </w:hyperlink>
      <w:r w:rsidR="00342C92" w:rsidRPr="007C4A7E">
        <w:t xml:space="preserve"> for SNPs and other community-based organizations</w:t>
      </w:r>
      <w:r w:rsidR="00AF79B7" w:rsidRPr="007C4A7E">
        <w:t>. This</w:t>
      </w:r>
      <w:r w:rsidR="00F736C9" w:rsidRPr="007C4A7E">
        <w:t xml:space="preserve"> tool can</w:t>
      </w:r>
      <w:r w:rsidR="00AF79B7" w:rsidRPr="007C4A7E">
        <w:t xml:space="preserve"> </w:t>
      </w:r>
      <w:r w:rsidR="00A566C2" w:rsidRPr="007C4A7E">
        <w:t xml:space="preserve">identify root causes that contribute to malnutrition and </w:t>
      </w:r>
      <w:r w:rsidR="00F736C9" w:rsidRPr="007C4A7E">
        <w:t xml:space="preserve">help staff </w:t>
      </w:r>
      <w:r w:rsidR="00A566C2" w:rsidRPr="007C4A7E">
        <w:t xml:space="preserve">connect </w:t>
      </w:r>
      <w:r w:rsidR="002651D9" w:rsidRPr="007C4A7E">
        <w:t>individuals</w:t>
      </w:r>
      <w:r w:rsidR="00A566C2" w:rsidRPr="007C4A7E">
        <w:t xml:space="preserve"> with additional programs and services to </w:t>
      </w:r>
      <w:r w:rsidR="00342C92" w:rsidRPr="007C4A7E">
        <w:t>lower</w:t>
      </w:r>
      <w:r w:rsidR="00A566C2" w:rsidRPr="007C4A7E">
        <w:t xml:space="preserve"> their </w:t>
      </w:r>
      <w:r w:rsidR="00F736C9" w:rsidRPr="007C4A7E">
        <w:t>nutritional risk</w:t>
      </w:r>
      <w:r w:rsidR="00A566C2" w:rsidRPr="007C4A7E">
        <w:t>.</w:t>
      </w:r>
    </w:p>
    <w:p w14:paraId="723C5509" w14:textId="77777777" w:rsidR="00586936" w:rsidRPr="007C4A7E" w:rsidRDefault="00586936" w:rsidP="00A566C2">
      <w:pPr>
        <w:pStyle w:val="NormalWeb"/>
        <w:spacing w:before="0" w:beforeAutospacing="0" w:after="0" w:afterAutospacing="0"/>
        <w:rPr>
          <w:rFonts w:ascii="Arial" w:eastAsiaTheme="minorHAnsi" w:hAnsi="Arial" w:cs="Arial"/>
        </w:rPr>
      </w:pPr>
    </w:p>
    <w:p w14:paraId="0F97284C" w14:textId="33AA2FBF" w:rsidR="00586936" w:rsidRPr="00DB7672" w:rsidRDefault="00586936" w:rsidP="00586936">
      <w:pPr>
        <w:rPr>
          <w:rFonts w:cs="Arial"/>
          <w:b/>
          <w:sz w:val="24"/>
          <w:szCs w:val="28"/>
        </w:rPr>
      </w:pPr>
      <w:r w:rsidRPr="00DB7672">
        <w:rPr>
          <w:rFonts w:cs="Arial"/>
          <w:bCs/>
          <w:noProof/>
          <w:sz w:val="24"/>
          <w:szCs w:val="28"/>
        </w:rPr>
        <w:drawing>
          <wp:anchor distT="0" distB="0" distL="114300" distR="114300" simplePos="0" relativeHeight="251658241" behindDoc="0" locked="0" layoutInCell="1" allowOverlap="1" wp14:anchorId="7931DE5B" wp14:editId="253E724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978025" cy="2759710"/>
            <wp:effectExtent l="0" t="0" r="3175" b="254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75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DD8E3">
        <w:rPr>
          <w:rFonts w:cs="Arial"/>
          <w:b/>
          <w:bCs/>
          <w:sz w:val="24"/>
        </w:rPr>
        <w:t xml:space="preserve">Food Security vs. Nutrition Security </w:t>
      </w:r>
    </w:p>
    <w:p w14:paraId="34F19918" w14:textId="55ED8848" w:rsidR="00586936" w:rsidRPr="007C4A7E" w:rsidRDefault="00586936" w:rsidP="00586936">
      <w:pPr>
        <w:rPr>
          <w:rFonts w:cs="Arial"/>
          <w:bCs/>
        </w:rPr>
      </w:pPr>
      <w:r w:rsidRPr="007C4A7E">
        <w:rPr>
          <w:rFonts w:cs="Arial"/>
          <w:bCs/>
        </w:rPr>
        <w:t xml:space="preserve">Food security </w:t>
      </w:r>
      <w:r w:rsidR="00EA47EA" w:rsidRPr="007C4A7E">
        <w:rPr>
          <w:rFonts w:cs="Arial"/>
          <w:bCs/>
        </w:rPr>
        <w:t xml:space="preserve">is </w:t>
      </w:r>
      <w:bookmarkStart w:id="0" w:name="_Hlk74139416"/>
      <w:r w:rsidR="00EA47EA" w:rsidRPr="007C4A7E">
        <w:rPr>
          <w:rFonts w:cs="Arial"/>
          <w:bCs/>
        </w:rPr>
        <w:t>having reliable access to a sufficient</w:t>
      </w:r>
      <w:r w:rsidRPr="007C4A7E">
        <w:rPr>
          <w:rFonts w:cs="Arial"/>
          <w:bCs/>
        </w:rPr>
        <w:t xml:space="preserve"> </w:t>
      </w:r>
      <w:r w:rsidR="00EA47EA" w:rsidRPr="007C4A7E">
        <w:rPr>
          <w:rFonts w:cs="Arial"/>
          <w:bCs/>
        </w:rPr>
        <w:t>quantity of affordable, nutritious foods</w:t>
      </w:r>
      <w:bookmarkEnd w:id="0"/>
      <w:r w:rsidR="00EA47EA" w:rsidRPr="007C4A7E">
        <w:rPr>
          <w:rFonts w:cs="Arial"/>
          <w:bCs/>
        </w:rPr>
        <w:t xml:space="preserve">. </w:t>
      </w:r>
      <w:r w:rsidRPr="007C4A7E">
        <w:rPr>
          <w:rFonts w:cs="Arial"/>
          <w:bCs/>
        </w:rPr>
        <w:t xml:space="preserve">Nutrition security is </w:t>
      </w:r>
      <w:r w:rsidR="00EA47EA" w:rsidRPr="007C4A7E">
        <w:rPr>
          <w:rFonts w:cs="Arial"/>
          <w:bCs/>
        </w:rPr>
        <w:t xml:space="preserve">having </w:t>
      </w:r>
      <w:r w:rsidR="00BC0130" w:rsidRPr="007C4A7E">
        <w:rPr>
          <w:rFonts w:cs="Arial"/>
          <w:bCs/>
        </w:rPr>
        <w:t xml:space="preserve">reliable access to a sufficient quality of affordable, nutritious foods </w:t>
      </w:r>
      <w:r w:rsidR="00EA47EA" w:rsidRPr="007C4A7E">
        <w:rPr>
          <w:rFonts w:cs="Arial"/>
          <w:bCs/>
        </w:rPr>
        <w:t xml:space="preserve">that promote well-being and prevent disease. </w:t>
      </w:r>
      <w:r w:rsidR="00EC087A">
        <w:rPr>
          <w:rFonts w:cs="Arial"/>
          <w:bCs/>
        </w:rPr>
        <w:t>F</w:t>
      </w:r>
      <w:r w:rsidR="00EA47EA" w:rsidRPr="007C4A7E">
        <w:rPr>
          <w:rFonts w:cs="Arial"/>
          <w:bCs/>
        </w:rPr>
        <w:t xml:space="preserve">ood programs </w:t>
      </w:r>
      <w:r w:rsidR="00F376DC">
        <w:rPr>
          <w:rFonts w:cs="Arial"/>
          <w:bCs/>
        </w:rPr>
        <w:t xml:space="preserve">that </w:t>
      </w:r>
      <w:r w:rsidR="00031F8D">
        <w:rPr>
          <w:rFonts w:cs="Arial"/>
          <w:bCs/>
        </w:rPr>
        <w:t>address</w:t>
      </w:r>
      <w:r w:rsidR="00EA47EA" w:rsidRPr="007C4A7E">
        <w:rPr>
          <w:rFonts w:cs="Arial"/>
          <w:bCs/>
        </w:rPr>
        <w:t xml:space="preserve"> food security</w:t>
      </w:r>
      <w:r w:rsidR="00F376DC">
        <w:rPr>
          <w:rFonts w:cs="Arial"/>
          <w:bCs/>
        </w:rPr>
        <w:t xml:space="preserve"> tend </w:t>
      </w:r>
      <w:r w:rsidR="008378D0">
        <w:rPr>
          <w:rFonts w:cs="Arial"/>
          <w:bCs/>
        </w:rPr>
        <w:t xml:space="preserve">to </w:t>
      </w:r>
      <w:r w:rsidR="008378D0" w:rsidRPr="007C4A7E">
        <w:rPr>
          <w:rFonts w:cs="Arial"/>
          <w:bCs/>
        </w:rPr>
        <w:t>focus</w:t>
      </w:r>
      <w:r w:rsidR="00031F8D">
        <w:rPr>
          <w:rFonts w:cs="Arial"/>
          <w:bCs/>
        </w:rPr>
        <w:t xml:space="preserve"> on</w:t>
      </w:r>
      <w:r w:rsidR="007814C0">
        <w:rPr>
          <w:rFonts w:cs="Arial"/>
          <w:bCs/>
        </w:rPr>
        <w:t>ly on</w:t>
      </w:r>
      <w:r w:rsidR="00031F8D">
        <w:rPr>
          <w:rFonts w:cs="Arial"/>
          <w:bCs/>
        </w:rPr>
        <w:t xml:space="preserve"> quantity and</w:t>
      </w:r>
      <w:r w:rsidR="00F736C9" w:rsidRPr="007C4A7E">
        <w:rPr>
          <w:rFonts w:cs="Arial"/>
          <w:bCs/>
        </w:rPr>
        <w:t xml:space="preserve"> may not provide </w:t>
      </w:r>
      <w:r w:rsidR="00EA47EA" w:rsidRPr="007C4A7E">
        <w:rPr>
          <w:rFonts w:cs="Arial"/>
          <w:bCs/>
        </w:rPr>
        <w:t xml:space="preserve">nutritious foods </w:t>
      </w:r>
      <w:r w:rsidR="00F736C9" w:rsidRPr="007C4A7E">
        <w:rPr>
          <w:rFonts w:cs="Arial"/>
          <w:bCs/>
        </w:rPr>
        <w:t>or</w:t>
      </w:r>
      <w:r w:rsidR="00EA47EA" w:rsidRPr="007C4A7E">
        <w:rPr>
          <w:rFonts w:cs="Arial"/>
          <w:bCs/>
        </w:rPr>
        <w:t xml:space="preserve"> </w:t>
      </w:r>
      <w:r w:rsidR="007F0B3D" w:rsidRPr="007C4A7E">
        <w:rPr>
          <w:rFonts w:cs="Arial"/>
          <w:bCs/>
        </w:rPr>
        <w:t xml:space="preserve">nutrition </w:t>
      </w:r>
      <w:r w:rsidR="00EA47EA" w:rsidRPr="007C4A7E">
        <w:rPr>
          <w:rFonts w:cs="Arial"/>
          <w:bCs/>
        </w:rPr>
        <w:t>screening</w:t>
      </w:r>
      <w:r w:rsidR="00F736C9" w:rsidRPr="007C4A7E">
        <w:rPr>
          <w:rFonts w:cs="Arial"/>
          <w:bCs/>
        </w:rPr>
        <w:t xml:space="preserve"> with appropriate referrals</w:t>
      </w:r>
      <w:r w:rsidR="00EA47EA" w:rsidRPr="007C4A7E">
        <w:rPr>
          <w:rFonts w:cs="Arial"/>
          <w:bCs/>
        </w:rPr>
        <w:t xml:space="preserve">. </w:t>
      </w:r>
    </w:p>
    <w:p w14:paraId="338AEB03" w14:textId="77777777" w:rsidR="00586936" w:rsidRPr="007C4A7E" w:rsidRDefault="00586936" w:rsidP="00586936">
      <w:pPr>
        <w:rPr>
          <w:rFonts w:cs="Arial"/>
          <w:b/>
        </w:rPr>
      </w:pPr>
    </w:p>
    <w:p w14:paraId="73669BE4" w14:textId="77777777" w:rsidR="00586936" w:rsidRPr="00DB7672" w:rsidRDefault="00586936" w:rsidP="00586936">
      <w:pPr>
        <w:rPr>
          <w:rFonts w:cs="Arial"/>
          <w:b/>
          <w:sz w:val="24"/>
          <w:szCs w:val="28"/>
        </w:rPr>
      </w:pPr>
      <w:r w:rsidRPr="00DB7672">
        <w:rPr>
          <w:rFonts w:cs="Arial"/>
          <w:b/>
          <w:sz w:val="24"/>
          <w:szCs w:val="28"/>
        </w:rPr>
        <w:t xml:space="preserve">Medically Tailored Meals </w:t>
      </w:r>
    </w:p>
    <w:p w14:paraId="427776CF" w14:textId="0A88A781" w:rsidR="00586936" w:rsidRPr="007C4A7E" w:rsidRDefault="00F00E38" w:rsidP="00586936">
      <w:pPr>
        <w:rPr>
          <w:rFonts w:cs="Arial"/>
          <w:bCs/>
        </w:rPr>
      </w:pPr>
      <w:r w:rsidRPr="007C4A7E">
        <w:rPr>
          <w:rFonts w:cs="Arial"/>
          <w:bCs/>
        </w:rPr>
        <w:t xml:space="preserve">Medically tailored meals </w:t>
      </w:r>
      <w:r w:rsidR="00342C92" w:rsidRPr="007C4A7E">
        <w:rPr>
          <w:rFonts w:cs="Arial"/>
          <w:bCs/>
        </w:rPr>
        <w:t xml:space="preserve">(MTM) </w:t>
      </w:r>
      <w:r w:rsidRPr="007C4A7E">
        <w:rPr>
          <w:rFonts w:cs="Arial"/>
          <w:bCs/>
        </w:rPr>
        <w:t xml:space="preserve">are meals approved by a registered dietitian that reflect appropriate dietary therapy based on evidence-based practice guidelines. </w:t>
      </w:r>
      <w:r w:rsidR="00342C92" w:rsidRPr="007C4A7E">
        <w:rPr>
          <w:rFonts w:cs="Arial"/>
          <w:bCs/>
        </w:rPr>
        <w:t>MTM</w:t>
      </w:r>
      <w:r w:rsidR="00586936" w:rsidRPr="007C4A7E">
        <w:rPr>
          <w:rFonts w:cs="Arial"/>
          <w:bCs/>
        </w:rPr>
        <w:t xml:space="preserve"> programs</w:t>
      </w:r>
      <w:r w:rsidR="00C045AD" w:rsidRPr="007C4A7E">
        <w:rPr>
          <w:rFonts w:cs="Arial"/>
          <w:bCs/>
        </w:rPr>
        <w:t xml:space="preserve">, including </w:t>
      </w:r>
      <w:hyperlink r:id="rId19" w:history="1">
        <w:r w:rsidR="00C045AD" w:rsidRPr="007C4A7E">
          <w:rPr>
            <w:rStyle w:val="Hyperlink"/>
            <w:rFonts w:cs="Arial"/>
            <w:bCs/>
          </w:rPr>
          <w:t>Project Open Hand</w:t>
        </w:r>
      </w:hyperlink>
      <w:r w:rsidR="00C045AD" w:rsidRPr="007C4A7E">
        <w:rPr>
          <w:rFonts w:cs="Arial"/>
          <w:bCs/>
        </w:rPr>
        <w:t>,</w:t>
      </w:r>
      <w:r w:rsidR="00586936" w:rsidRPr="007C4A7E">
        <w:rPr>
          <w:rFonts w:cs="Arial"/>
          <w:bCs/>
        </w:rPr>
        <w:t xml:space="preserve"> </w:t>
      </w:r>
      <w:r w:rsidRPr="007C4A7E">
        <w:rPr>
          <w:rFonts w:cs="Arial"/>
          <w:bCs/>
        </w:rPr>
        <w:t xml:space="preserve">target </w:t>
      </w:r>
      <w:r w:rsidR="00B276E9" w:rsidRPr="007C4A7E">
        <w:rPr>
          <w:rFonts w:cs="Arial"/>
          <w:bCs/>
        </w:rPr>
        <w:t xml:space="preserve">conditions </w:t>
      </w:r>
      <w:r w:rsidRPr="007C4A7E">
        <w:rPr>
          <w:rFonts w:cs="Arial"/>
          <w:bCs/>
        </w:rPr>
        <w:t>such as</w:t>
      </w:r>
      <w:r w:rsidR="00586936" w:rsidRPr="007C4A7E">
        <w:rPr>
          <w:rFonts w:cs="Arial"/>
          <w:bCs/>
        </w:rPr>
        <w:t xml:space="preserve"> HIV, heart disease, diabetes, chronic</w:t>
      </w:r>
      <w:r w:rsidR="00C045AD" w:rsidRPr="007C4A7E">
        <w:rPr>
          <w:rFonts w:cs="Arial"/>
          <w:bCs/>
        </w:rPr>
        <w:t xml:space="preserve"> </w:t>
      </w:r>
      <w:r w:rsidR="00586936" w:rsidRPr="007C4A7E">
        <w:rPr>
          <w:rFonts w:cs="Arial"/>
          <w:bCs/>
        </w:rPr>
        <w:t xml:space="preserve">kidney disease, </w:t>
      </w:r>
      <w:r w:rsidRPr="007C4A7E">
        <w:rPr>
          <w:rFonts w:cs="Arial"/>
          <w:bCs/>
        </w:rPr>
        <w:t>and</w:t>
      </w:r>
      <w:r w:rsidR="00586936" w:rsidRPr="007C4A7E">
        <w:rPr>
          <w:rFonts w:cs="Arial"/>
          <w:bCs/>
        </w:rPr>
        <w:t xml:space="preserve"> end-stage kidney disease. </w:t>
      </w:r>
      <w:r w:rsidR="00342C92" w:rsidRPr="007C4A7E">
        <w:rPr>
          <w:rFonts w:cs="Arial"/>
          <w:bCs/>
        </w:rPr>
        <w:t xml:space="preserve">Studies show </w:t>
      </w:r>
      <w:r w:rsidR="00245AF0" w:rsidRPr="007C4A7E">
        <w:rPr>
          <w:rFonts w:cs="Arial"/>
          <w:bCs/>
        </w:rPr>
        <w:t xml:space="preserve">MTMs </w:t>
      </w:r>
      <w:r w:rsidR="00586936" w:rsidRPr="007C4A7E">
        <w:rPr>
          <w:rFonts w:cs="Arial"/>
          <w:bCs/>
        </w:rPr>
        <w:t xml:space="preserve">reduce health care costs, </w:t>
      </w:r>
      <w:r w:rsidR="00342C92" w:rsidRPr="007C4A7E">
        <w:rPr>
          <w:rFonts w:cs="Arial"/>
          <w:bCs/>
        </w:rPr>
        <w:t>lower</w:t>
      </w:r>
      <w:r w:rsidR="00586936" w:rsidRPr="007C4A7E">
        <w:rPr>
          <w:rFonts w:cs="Arial"/>
          <w:bCs/>
        </w:rPr>
        <w:t xml:space="preserve"> </w:t>
      </w:r>
      <w:r w:rsidR="0066591C" w:rsidRPr="007C4A7E">
        <w:rPr>
          <w:rFonts w:cs="Arial"/>
          <w:bCs/>
        </w:rPr>
        <w:t xml:space="preserve">the rate of </w:t>
      </w:r>
      <w:r w:rsidR="00586936" w:rsidRPr="007C4A7E">
        <w:rPr>
          <w:rFonts w:cs="Arial"/>
          <w:bCs/>
        </w:rPr>
        <w:t>hospitalization</w:t>
      </w:r>
      <w:r w:rsidR="0066591C" w:rsidRPr="007C4A7E">
        <w:rPr>
          <w:rFonts w:cs="Arial"/>
          <w:bCs/>
        </w:rPr>
        <w:t>s</w:t>
      </w:r>
      <w:r w:rsidR="00342C92" w:rsidRPr="007C4A7E">
        <w:rPr>
          <w:rFonts w:cs="Arial"/>
          <w:bCs/>
        </w:rPr>
        <w:t xml:space="preserve"> and nursing home admissions</w:t>
      </w:r>
      <w:r w:rsidR="00586936" w:rsidRPr="007C4A7E">
        <w:rPr>
          <w:rFonts w:cs="Arial"/>
          <w:bCs/>
        </w:rPr>
        <w:t xml:space="preserve">, and </w:t>
      </w:r>
      <w:r w:rsidR="00342C92" w:rsidRPr="007C4A7E">
        <w:rPr>
          <w:rFonts w:cs="Arial"/>
          <w:bCs/>
        </w:rPr>
        <w:t>improve control of blood sugar in diabetes</w:t>
      </w:r>
      <w:r w:rsidR="00586936" w:rsidRPr="007C4A7E">
        <w:rPr>
          <w:rFonts w:cs="Arial"/>
          <w:bCs/>
        </w:rPr>
        <w:t xml:space="preserve">. </w:t>
      </w:r>
    </w:p>
    <w:p w14:paraId="7C15BC23" w14:textId="77777777" w:rsidR="00586936" w:rsidRPr="007C4A7E" w:rsidRDefault="00586936" w:rsidP="00586936">
      <w:pPr>
        <w:rPr>
          <w:rFonts w:cs="Arial"/>
          <w:b/>
        </w:rPr>
      </w:pPr>
    </w:p>
    <w:p w14:paraId="68DF7BDB" w14:textId="77777777" w:rsidR="00586936" w:rsidRPr="007C4A7E" w:rsidRDefault="00586936" w:rsidP="00586936">
      <w:pPr>
        <w:rPr>
          <w:rFonts w:cs="Arial"/>
          <w:b/>
        </w:rPr>
      </w:pPr>
      <w:r w:rsidRPr="00DB7672">
        <w:rPr>
          <w:rFonts w:cs="Arial"/>
          <w:b/>
          <w:sz w:val="24"/>
          <w:szCs w:val="28"/>
        </w:rPr>
        <w:t>Partnerships</w:t>
      </w:r>
      <w:r w:rsidRPr="007C4A7E">
        <w:rPr>
          <w:rFonts w:cs="Arial"/>
          <w:b/>
        </w:rPr>
        <w:t xml:space="preserve"> </w:t>
      </w:r>
    </w:p>
    <w:p w14:paraId="10D41069" w14:textId="4A592F59" w:rsidR="00E86B70" w:rsidRPr="007C4A7E" w:rsidRDefault="00F125F8" w:rsidP="00586936">
      <w:pPr>
        <w:rPr>
          <w:rFonts w:cs="Arial"/>
          <w:bCs/>
        </w:rPr>
      </w:pPr>
      <w:r w:rsidRPr="007C4A7E">
        <w:rPr>
          <w:rFonts w:cs="Arial"/>
          <w:bCs/>
        </w:rPr>
        <w:t xml:space="preserve">By partnering with other organizations, </w:t>
      </w:r>
      <w:r w:rsidR="006C21B9" w:rsidRPr="007C4A7E">
        <w:rPr>
          <w:rFonts w:cs="Arial"/>
          <w:bCs/>
        </w:rPr>
        <w:t>SNPs</w:t>
      </w:r>
      <w:r w:rsidR="00586936" w:rsidRPr="007C4A7E">
        <w:rPr>
          <w:rFonts w:cs="Arial"/>
          <w:bCs/>
        </w:rPr>
        <w:t xml:space="preserve"> can help fight food insecurity and malnutrition. Partnerships help to bring together </w:t>
      </w:r>
      <w:r w:rsidR="00F6235C" w:rsidRPr="007C4A7E">
        <w:rPr>
          <w:rFonts w:cs="Arial"/>
          <w:bCs/>
        </w:rPr>
        <w:t>consistent</w:t>
      </w:r>
      <w:r w:rsidR="00586936" w:rsidRPr="007C4A7E">
        <w:rPr>
          <w:rFonts w:cs="Arial"/>
          <w:bCs/>
        </w:rPr>
        <w:t xml:space="preserve"> data, shared best practices, and collaborat</w:t>
      </w:r>
      <w:r w:rsidR="00F6235C" w:rsidRPr="007C4A7E">
        <w:rPr>
          <w:rFonts w:cs="Arial"/>
          <w:bCs/>
        </w:rPr>
        <w:t>ion</w:t>
      </w:r>
      <w:r w:rsidR="00586936" w:rsidRPr="007C4A7E">
        <w:rPr>
          <w:rFonts w:cs="Arial"/>
          <w:bCs/>
        </w:rPr>
        <w:t xml:space="preserve"> on program issues or ideas. </w:t>
      </w:r>
    </w:p>
    <w:p w14:paraId="1D0A4177" w14:textId="77777777" w:rsidR="00E86B70" w:rsidRPr="007C4A7E" w:rsidRDefault="00E86B70" w:rsidP="00586936">
      <w:pPr>
        <w:rPr>
          <w:rFonts w:cs="Arial"/>
          <w:bCs/>
        </w:rPr>
      </w:pPr>
    </w:p>
    <w:p w14:paraId="68EE2BE0" w14:textId="77777777" w:rsidR="00AD62E3" w:rsidRDefault="00AD62E3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609F6530" w14:textId="6C4D34C4" w:rsidR="008C134C" w:rsidRPr="007C4A7E" w:rsidRDefault="00586936" w:rsidP="00586936">
      <w:pPr>
        <w:rPr>
          <w:rFonts w:cs="Arial"/>
          <w:bCs/>
        </w:rPr>
      </w:pPr>
      <w:r w:rsidRPr="007C4A7E">
        <w:rPr>
          <w:rFonts w:cs="Arial"/>
          <w:bCs/>
        </w:rPr>
        <w:lastRenderedPageBreak/>
        <w:t xml:space="preserve">Some examples of partnerships </w:t>
      </w:r>
      <w:r w:rsidR="00F6235C" w:rsidRPr="007C4A7E">
        <w:rPr>
          <w:rFonts w:cs="Arial"/>
          <w:bCs/>
        </w:rPr>
        <w:t>include:</w:t>
      </w:r>
      <w:r w:rsidRPr="007C4A7E">
        <w:rPr>
          <w:rFonts w:cs="Arial"/>
          <w:bCs/>
        </w:rPr>
        <w:t xml:space="preserve"> </w:t>
      </w:r>
    </w:p>
    <w:p w14:paraId="5DF9BA1A" w14:textId="6110EFEF" w:rsidR="00F736C9" w:rsidRPr="007C4A7E" w:rsidRDefault="00F736C9" w:rsidP="00F736C9">
      <w:pPr>
        <w:pStyle w:val="ListParagraph"/>
        <w:numPr>
          <w:ilvl w:val="0"/>
          <w:numId w:val="15"/>
        </w:numPr>
        <w:rPr>
          <w:rFonts w:cs="Arial"/>
          <w:bCs/>
        </w:rPr>
      </w:pPr>
      <w:r w:rsidRPr="007C4A7E">
        <w:rPr>
          <w:rFonts w:cs="Arial"/>
          <w:bCs/>
        </w:rPr>
        <w:t xml:space="preserve">Federal </w:t>
      </w:r>
      <w:r w:rsidR="00F125F8" w:rsidRPr="007C4A7E">
        <w:rPr>
          <w:rFonts w:cs="Arial"/>
          <w:bCs/>
        </w:rPr>
        <w:t>Government</w:t>
      </w:r>
      <w:r w:rsidRPr="007C4A7E">
        <w:rPr>
          <w:rFonts w:cs="Arial"/>
          <w:bCs/>
        </w:rPr>
        <w:t>: Administration for Community Living, U</w:t>
      </w:r>
      <w:r w:rsidR="00DD4CB2" w:rsidRPr="007C4A7E">
        <w:rPr>
          <w:rFonts w:cs="Arial"/>
          <w:bCs/>
        </w:rPr>
        <w:t>.</w:t>
      </w:r>
      <w:r w:rsidRPr="007C4A7E">
        <w:rPr>
          <w:rFonts w:cs="Arial"/>
          <w:bCs/>
        </w:rPr>
        <w:t>S</w:t>
      </w:r>
      <w:r w:rsidR="00DD4CB2" w:rsidRPr="007C4A7E">
        <w:rPr>
          <w:rFonts w:cs="Arial"/>
          <w:bCs/>
        </w:rPr>
        <w:t>.</w:t>
      </w:r>
      <w:r w:rsidRPr="007C4A7E">
        <w:rPr>
          <w:rFonts w:cs="Arial"/>
          <w:bCs/>
        </w:rPr>
        <w:t xml:space="preserve"> Department of Agriculture, Centers for Disease Control and Prevention.</w:t>
      </w:r>
    </w:p>
    <w:p w14:paraId="50656537" w14:textId="137E17E4" w:rsidR="00F736C9" w:rsidRPr="007C4A7E" w:rsidRDefault="00F736C9" w:rsidP="000F3BC0">
      <w:pPr>
        <w:pStyle w:val="ListParagraph"/>
        <w:numPr>
          <w:ilvl w:val="0"/>
          <w:numId w:val="15"/>
        </w:numPr>
        <w:rPr>
          <w:rFonts w:cs="Arial"/>
          <w:bCs/>
        </w:rPr>
      </w:pPr>
      <w:r w:rsidRPr="007C4A7E">
        <w:rPr>
          <w:rFonts w:cs="Arial"/>
          <w:bCs/>
        </w:rPr>
        <w:t xml:space="preserve">National Organizations: Academy of Nutrition </w:t>
      </w:r>
      <w:r w:rsidR="006C21B9" w:rsidRPr="007C4A7E">
        <w:rPr>
          <w:rFonts w:cs="Arial"/>
          <w:bCs/>
        </w:rPr>
        <w:t xml:space="preserve">and </w:t>
      </w:r>
      <w:r w:rsidRPr="007C4A7E">
        <w:rPr>
          <w:rFonts w:cs="Arial"/>
          <w:bCs/>
        </w:rPr>
        <w:t>Dietetics, National Council on Aging, Defeat</w:t>
      </w:r>
      <w:r w:rsidR="006C21B9" w:rsidRPr="007C4A7E">
        <w:rPr>
          <w:rFonts w:cs="Arial"/>
          <w:bCs/>
        </w:rPr>
        <w:t xml:space="preserve"> </w:t>
      </w:r>
      <w:r w:rsidRPr="007C4A7E">
        <w:rPr>
          <w:rFonts w:cs="Arial"/>
          <w:bCs/>
        </w:rPr>
        <w:t>Malnutrition</w:t>
      </w:r>
      <w:r w:rsidR="00C74045" w:rsidRPr="007C4A7E">
        <w:rPr>
          <w:rFonts w:cs="Arial"/>
          <w:bCs/>
        </w:rPr>
        <w:t xml:space="preserve"> </w:t>
      </w:r>
      <w:r w:rsidRPr="007C4A7E">
        <w:rPr>
          <w:rFonts w:cs="Arial"/>
          <w:bCs/>
        </w:rPr>
        <w:t xml:space="preserve">Today, Food Research &amp; Action Council, Feeding America. </w:t>
      </w:r>
    </w:p>
    <w:p w14:paraId="5CE8CCCA" w14:textId="2F1D16E4" w:rsidR="008C134C" w:rsidRPr="007C4A7E" w:rsidRDefault="008C134C" w:rsidP="000F3BC0">
      <w:pPr>
        <w:pStyle w:val="ListParagraph"/>
        <w:numPr>
          <w:ilvl w:val="0"/>
          <w:numId w:val="15"/>
        </w:numPr>
        <w:rPr>
          <w:rFonts w:cs="Arial"/>
          <w:bCs/>
        </w:rPr>
      </w:pPr>
      <w:r w:rsidRPr="007C4A7E">
        <w:rPr>
          <w:rFonts w:cs="Arial"/>
          <w:bCs/>
        </w:rPr>
        <w:t>S</w:t>
      </w:r>
      <w:r w:rsidR="00586936" w:rsidRPr="007C4A7E">
        <w:rPr>
          <w:rFonts w:cs="Arial"/>
          <w:bCs/>
        </w:rPr>
        <w:t xml:space="preserve">tate </w:t>
      </w:r>
      <w:r w:rsidR="00F125F8" w:rsidRPr="007C4A7E">
        <w:rPr>
          <w:rFonts w:cs="Arial"/>
          <w:bCs/>
        </w:rPr>
        <w:t>Government</w:t>
      </w:r>
      <w:r w:rsidR="000F3BC0" w:rsidRPr="007C4A7E">
        <w:rPr>
          <w:rFonts w:cs="Arial"/>
          <w:bCs/>
        </w:rPr>
        <w:t xml:space="preserve">: </w:t>
      </w:r>
      <w:r w:rsidRPr="007C4A7E">
        <w:rPr>
          <w:rFonts w:cs="Arial"/>
          <w:bCs/>
        </w:rPr>
        <w:t xml:space="preserve">State </w:t>
      </w:r>
      <w:r w:rsidR="00F6235C" w:rsidRPr="007C4A7E">
        <w:rPr>
          <w:rFonts w:cs="Arial"/>
          <w:bCs/>
        </w:rPr>
        <w:t xml:space="preserve">Departments of Aging and Disability, Public Health, Veterans Affairs, </w:t>
      </w:r>
      <w:r w:rsidR="00C045AD" w:rsidRPr="007C4A7E">
        <w:rPr>
          <w:rFonts w:cs="Arial"/>
          <w:bCs/>
        </w:rPr>
        <w:t xml:space="preserve">Social Services, </w:t>
      </w:r>
      <w:r w:rsidR="00F6235C" w:rsidRPr="007C4A7E">
        <w:rPr>
          <w:rFonts w:cs="Arial"/>
          <w:bCs/>
        </w:rPr>
        <w:t xml:space="preserve">Emergency Management, Agriculture and </w:t>
      </w:r>
      <w:r w:rsidRPr="007C4A7E">
        <w:rPr>
          <w:rFonts w:cs="Arial"/>
          <w:bCs/>
        </w:rPr>
        <w:t>Health Care Services</w:t>
      </w:r>
      <w:r w:rsidR="003D3F51">
        <w:rPr>
          <w:rFonts w:cs="Arial"/>
          <w:bCs/>
        </w:rPr>
        <w:t>,</w:t>
      </w:r>
      <w:r w:rsidR="00F6235C" w:rsidRPr="007C4A7E">
        <w:rPr>
          <w:rFonts w:cs="Arial"/>
          <w:bCs/>
        </w:rPr>
        <w:t xml:space="preserve"> </w:t>
      </w:r>
      <w:r w:rsidRPr="007C4A7E">
        <w:rPr>
          <w:rFonts w:cs="Arial"/>
          <w:bCs/>
        </w:rPr>
        <w:t>Legislators as Champions</w:t>
      </w:r>
      <w:r w:rsidR="00F6235C" w:rsidRPr="007C4A7E">
        <w:rPr>
          <w:rFonts w:cs="Arial"/>
          <w:bCs/>
        </w:rPr>
        <w:t>.</w:t>
      </w:r>
    </w:p>
    <w:p w14:paraId="6A054B1B" w14:textId="7F41C92B" w:rsidR="008C134C" w:rsidRPr="007C4A7E" w:rsidRDefault="00F6235C" w:rsidP="000F3BC0">
      <w:pPr>
        <w:pStyle w:val="ListParagraph"/>
        <w:numPr>
          <w:ilvl w:val="0"/>
          <w:numId w:val="15"/>
        </w:numPr>
        <w:rPr>
          <w:rFonts w:cs="Arial"/>
          <w:bCs/>
        </w:rPr>
      </w:pPr>
      <w:r w:rsidRPr="007C4A7E">
        <w:rPr>
          <w:rFonts w:cs="Arial"/>
          <w:bCs/>
        </w:rPr>
        <w:t>City and County: Departments</w:t>
      </w:r>
      <w:r w:rsidR="008C134C" w:rsidRPr="007C4A7E">
        <w:rPr>
          <w:rFonts w:cs="Arial"/>
          <w:bCs/>
        </w:rPr>
        <w:t xml:space="preserve"> of Aging and Disability</w:t>
      </w:r>
      <w:r w:rsidR="00E86B70" w:rsidRPr="007C4A7E">
        <w:rPr>
          <w:rFonts w:cs="Arial"/>
          <w:bCs/>
        </w:rPr>
        <w:t>,</w:t>
      </w:r>
      <w:r w:rsidRPr="007C4A7E">
        <w:rPr>
          <w:rFonts w:cs="Arial"/>
          <w:bCs/>
        </w:rPr>
        <w:t xml:space="preserve"> Public </w:t>
      </w:r>
      <w:r w:rsidR="008C134C" w:rsidRPr="007C4A7E">
        <w:rPr>
          <w:rFonts w:cs="Arial"/>
          <w:bCs/>
        </w:rPr>
        <w:t>Health</w:t>
      </w:r>
      <w:r w:rsidRPr="007C4A7E">
        <w:rPr>
          <w:rFonts w:cs="Arial"/>
          <w:bCs/>
        </w:rPr>
        <w:t>.</w:t>
      </w:r>
      <w:r w:rsidR="008C134C" w:rsidRPr="007C4A7E">
        <w:rPr>
          <w:rFonts w:cs="Arial"/>
          <w:bCs/>
        </w:rPr>
        <w:t xml:space="preserve"> </w:t>
      </w:r>
    </w:p>
    <w:p w14:paraId="681F2FF6" w14:textId="77777777" w:rsidR="00C045AD" w:rsidRPr="007C4A7E" w:rsidRDefault="00C045AD" w:rsidP="008C134C">
      <w:pPr>
        <w:pStyle w:val="ListParagraph"/>
        <w:numPr>
          <w:ilvl w:val="0"/>
          <w:numId w:val="15"/>
        </w:numPr>
        <w:rPr>
          <w:rFonts w:cs="Arial"/>
          <w:bCs/>
        </w:rPr>
      </w:pPr>
      <w:r w:rsidRPr="007C4A7E">
        <w:rPr>
          <w:rFonts w:cs="Arial"/>
          <w:bCs/>
        </w:rPr>
        <w:t>Food companies, suppliers.</w:t>
      </w:r>
    </w:p>
    <w:p w14:paraId="0F7FD274" w14:textId="30035AEE" w:rsidR="00C045AD" w:rsidRPr="007C4A7E" w:rsidRDefault="00C045AD" w:rsidP="008C134C">
      <w:pPr>
        <w:pStyle w:val="ListParagraph"/>
        <w:numPr>
          <w:ilvl w:val="0"/>
          <w:numId w:val="15"/>
        </w:numPr>
        <w:rPr>
          <w:rFonts w:cs="Arial"/>
          <w:bCs/>
        </w:rPr>
      </w:pPr>
      <w:r w:rsidRPr="007C4A7E">
        <w:rPr>
          <w:rFonts w:cs="Arial"/>
          <w:bCs/>
        </w:rPr>
        <w:t>Philanthropies</w:t>
      </w:r>
      <w:r w:rsidR="00FF002A">
        <w:rPr>
          <w:rFonts w:cs="Arial"/>
          <w:bCs/>
        </w:rPr>
        <w:t>.</w:t>
      </w:r>
    </w:p>
    <w:p w14:paraId="35B956B3" w14:textId="19CF636B" w:rsidR="00586936" w:rsidRPr="007C4A7E" w:rsidRDefault="00F736C9" w:rsidP="008C134C">
      <w:pPr>
        <w:pStyle w:val="ListParagraph"/>
        <w:numPr>
          <w:ilvl w:val="0"/>
          <w:numId w:val="15"/>
        </w:numPr>
        <w:rPr>
          <w:rFonts w:cs="Arial"/>
          <w:bCs/>
        </w:rPr>
      </w:pPr>
      <w:r w:rsidRPr="007C4A7E">
        <w:rPr>
          <w:rFonts w:cs="Arial"/>
          <w:bCs/>
        </w:rPr>
        <w:t xml:space="preserve">Universities (including Cooperative Extension and SNAP-Ed), </w:t>
      </w:r>
      <w:r w:rsidR="00EF3F6C" w:rsidRPr="007C4A7E">
        <w:rPr>
          <w:rFonts w:cs="Arial"/>
          <w:bCs/>
        </w:rPr>
        <w:t>h</w:t>
      </w:r>
      <w:r w:rsidR="00586936" w:rsidRPr="007C4A7E">
        <w:rPr>
          <w:rFonts w:cs="Arial"/>
          <w:bCs/>
        </w:rPr>
        <w:t>ealth care plans</w:t>
      </w:r>
      <w:r w:rsidR="008C134C" w:rsidRPr="007C4A7E">
        <w:rPr>
          <w:rFonts w:cs="Arial"/>
          <w:bCs/>
        </w:rPr>
        <w:t xml:space="preserve">, </w:t>
      </w:r>
      <w:r w:rsidR="00EF3F6C" w:rsidRPr="007C4A7E">
        <w:rPr>
          <w:rFonts w:cs="Arial"/>
          <w:bCs/>
        </w:rPr>
        <w:t>n</w:t>
      </w:r>
      <w:r w:rsidR="00586936" w:rsidRPr="007C4A7E">
        <w:rPr>
          <w:rFonts w:cs="Arial"/>
          <w:bCs/>
        </w:rPr>
        <w:t>on-profit organizations</w:t>
      </w:r>
      <w:r w:rsidR="008C134C" w:rsidRPr="007C4A7E">
        <w:rPr>
          <w:rFonts w:cs="Arial"/>
          <w:bCs/>
        </w:rPr>
        <w:t xml:space="preserve">, </w:t>
      </w:r>
      <w:r w:rsidRPr="007C4A7E">
        <w:rPr>
          <w:rFonts w:cs="Arial"/>
          <w:bCs/>
        </w:rPr>
        <w:t>faith-based organizations, h</w:t>
      </w:r>
      <w:r w:rsidR="00586936" w:rsidRPr="007C4A7E">
        <w:rPr>
          <w:rFonts w:cs="Arial"/>
          <w:bCs/>
        </w:rPr>
        <w:t>ospitals, food banks</w:t>
      </w:r>
      <w:r w:rsidRPr="007C4A7E">
        <w:rPr>
          <w:rFonts w:cs="Arial"/>
          <w:bCs/>
        </w:rPr>
        <w:t>/food pantries</w:t>
      </w:r>
      <w:r w:rsidR="00586936" w:rsidRPr="007C4A7E">
        <w:rPr>
          <w:rFonts w:cs="Arial"/>
          <w:bCs/>
        </w:rPr>
        <w:t xml:space="preserve">, volunteer </w:t>
      </w:r>
      <w:r w:rsidR="00EF3F6C" w:rsidRPr="007C4A7E">
        <w:rPr>
          <w:rFonts w:cs="Arial"/>
          <w:bCs/>
        </w:rPr>
        <w:t>organizations</w:t>
      </w:r>
      <w:r w:rsidR="00586936" w:rsidRPr="007C4A7E">
        <w:rPr>
          <w:rFonts w:cs="Arial"/>
          <w:bCs/>
        </w:rPr>
        <w:t xml:space="preserve">. </w:t>
      </w:r>
    </w:p>
    <w:p w14:paraId="3B4BF34B" w14:textId="77777777" w:rsidR="008612B7" w:rsidRPr="007C4A7E" w:rsidRDefault="008612B7" w:rsidP="005D6EEF">
      <w:pPr>
        <w:rPr>
          <w:rFonts w:cs="Arial"/>
        </w:rPr>
      </w:pPr>
    </w:p>
    <w:p w14:paraId="6BC16786" w14:textId="77777777" w:rsidR="005D6EEF" w:rsidRPr="00DB7672" w:rsidRDefault="005D6EEF" w:rsidP="005D6EEF">
      <w:pPr>
        <w:rPr>
          <w:rFonts w:cs="Arial"/>
          <w:b/>
          <w:sz w:val="24"/>
          <w:szCs w:val="28"/>
        </w:rPr>
      </w:pPr>
      <w:r w:rsidRPr="00DB7672">
        <w:rPr>
          <w:rFonts w:cs="Arial"/>
          <w:b/>
          <w:sz w:val="24"/>
          <w:szCs w:val="28"/>
        </w:rPr>
        <w:t xml:space="preserve">Definitions </w:t>
      </w:r>
    </w:p>
    <w:p w14:paraId="75AD735E" w14:textId="77777777" w:rsidR="005D6EEF" w:rsidRPr="007C4A7E" w:rsidRDefault="005D6EEF" w:rsidP="005D6EEF">
      <w:pPr>
        <w:rPr>
          <w:rFonts w:cs="Arial"/>
          <w:b/>
        </w:rPr>
      </w:pPr>
    </w:p>
    <w:p w14:paraId="1A2FC860" w14:textId="26130ABE" w:rsidR="005D6EEF" w:rsidRPr="007C4A7E" w:rsidRDefault="005D6EEF" w:rsidP="005D6EEF">
      <w:pPr>
        <w:rPr>
          <w:rFonts w:cs="Arial"/>
        </w:rPr>
      </w:pPr>
      <w:r w:rsidRPr="007C4A7E">
        <w:rPr>
          <w:rFonts w:cs="Arial"/>
          <w:b/>
        </w:rPr>
        <w:t>Food Insecurity:</w:t>
      </w:r>
      <w:r w:rsidRPr="007C4A7E">
        <w:rPr>
          <w:rFonts w:cs="Arial"/>
        </w:rPr>
        <w:t xml:space="preserve"> </w:t>
      </w:r>
      <w:r w:rsidR="00342C92" w:rsidRPr="007C4A7E">
        <w:rPr>
          <w:rFonts w:cs="Arial"/>
        </w:rPr>
        <w:t xml:space="preserve">When a person is </w:t>
      </w:r>
      <w:r w:rsidRPr="007C4A7E">
        <w:rPr>
          <w:rFonts w:cs="Arial"/>
        </w:rPr>
        <w:t>without reliable access to enough affordable, culturally appropriate, nutritious food</w:t>
      </w:r>
      <w:r w:rsidR="00342C92" w:rsidRPr="007C4A7E">
        <w:rPr>
          <w:rFonts w:cs="Arial"/>
        </w:rPr>
        <w:t>.</w:t>
      </w:r>
      <w:r w:rsidRPr="007C4A7E">
        <w:rPr>
          <w:rFonts w:cs="Arial"/>
        </w:rPr>
        <w:t xml:space="preserve"> </w:t>
      </w:r>
    </w:p>
    <w:p w14:paraId="3626BBA7" w14:textId="77777777" w:rsidR="00586936" w:rsidRPr="007C4A7E" w:rsidRDefault="00586936" w:rsidP="00586936">
      <w:pPr>
        <w:rPr>
          <w:rFonts w:cs="Arial"/>
        </w:rPr>
      </w:pPr>
    </w:p>
    <w:p w14:paraId="06F9D907" w14:textId="438FF071" w:rsidR="00F00E38" w:rsidRPr="007C4A7E" w:rsidRDefault="00586936" w:rsidP="00586936">
      <w:pPr>
        <w:rPr>
          <w:rFonts w:cs="Arial"/>
          <w:bCs/>
        </w:rPr>
      </w:pPr>
      <w:r w:rsidRPr="007C4A7E">
        <w:rPr>
          <w:rFonts w:cs="Arial"/>
          <w:b/>
          <w:bCs/>
        </w:rPr>
        <w:t xml:space="preserve">Food Security: </w:t>
      </w:r>
      <w:r w:rsidR="00342C92" w:rsidRPr="007C4A7E">
        <w:rPr>
          <w:rFonts w:cs="Arial"/>
          <w:bCs/>
        </w:rPr>
        <w:t>When a person has</w:t>
      </w:r>
      <w:r w:rsidR="008C134C" w:rsidRPr="007C4A7E">
        <w:rPr>
          <w:rFonts w:cs="Arial"/>
          <w:bCs/>
        </w:rPr>
        <w:t xml:space="preserve"> reliable access to a sufficient quantity of affordable, </w:t>
      </w:r>
      <w:r w:rsidR="00342C92" w:rsidRPr="007C4A7E">
        <w:rPr>
          <w:rFonts w:cs="Arial"/>
        </w:rPr>
        <w:t xml:space="preserve">culturally appropriate, </w:t>
      </w:r>
      <w:r w:rsidR="008C134C" w:rsidRPr="007C4A7E">
        <w:rPr>
          <w:rFonts w:cs="Arial"/>
          <w:bCs/>
        </w:rPr>
        <w:t>nutritious food</w:t>
      </w:r>
      <w:r w:rsidR="00342C92" w:rsidRPr="007C4A7E">
        <w:rPr>
          <w:rFonts w:cs="Arial"/>
          <w:bCs/>
        </w:rPr>
        <w:t>.</w:t>
      </w:r>
    </w:p>
    <w:p w14:paraId="3A078F7A" w14:textId="77777777" w:rsidR="008C134C" w:rsidRPr="007C4A7E" w:rsidRDefault="008C134C" w:rsidP="00586936">
      <w:pPr>
        <w:rPr>
          <w:rFonts w:cs="Arial"/>
        </w:rPr>
      </w:pPr>
    </w:p>
    <w:p w14:paraId="4F17FC0F" w14:textId="59468501" w:rsidR="00F00E38" w:rsidRDefault="00F00E38" w:rsidP="00586936">
      <w:pPr>
        <w:rPr>
          <w:rFonts w:cs="Arial"/>
          <w:bCs/>
        </w:rPr>
      </w:pPr>
      <w:r w:rsidRPr="007C4A7E">
        <w:rPr>
          <w:rFonts w:cs="Arial"/>
          <w:b/>
        </w:rPr>
        <w:t xml:space="preserve">Health Screening: </w:t>
      </w:r>
      <w:r w:rsidR="00342C92" w:rsidRPr="007C4A7E">
        <w:rPr>
          <w:rFonts w:cs="Arial"/>
          <w:bCs/>
        </w:rPr>
        <w:t>A p</w:t>
      </w:r>
      <w:r w:rsidRPr="007C4A7E">
        <w:rPr>
          <w:rFonts w:cs="Arial"/>
          <w:bCs/>
        </w:rPr>
        <w:t xml:space="preserve">rocess that </w:t>
      </w:r>
      <w:r w:rsidR="00BB4767" w:rsidRPr="007C4A7E">
        <w:rPr>
          <w:rFonts w:cs="Arial"/>
          <w:bCs/>
        </w:rPr>
        <w:t xml:space="preserve">uses questionnaires or procedures to </w:t>
      </w:r>
      <w:r w:rsidRPr="007C4A7E">
        <w:rPr>
          <w:rFonts w:cs="Arial"/>
          <w:bCs/>
        </w:rPr>
        <w:t>help identify health risks</w:t>
      </w:r>
      <w:r w:rsidR="00BB4767" w:rsidRPr="007C4A7E">
        <w:rPr>
          <w:rFonts w:cs="Arial"/>
          <w:bCs/>
        </w:rPr>
        <w:t>.</w:t>
      </w:r>
    </w:p>
    <w:p w14:paraId="016958ED" w14:textId="77777777" w:rsidR="00DB7672" w:rsidRPr="007C4A7E" w:rsidRDefault="00DB7672" w:rsidP="00586936">
      <w:pPr>
        <w:rPr>
          <w:rFonts w:cs="Arial"/>
          <w:bCs/>
        </w:rPr>
      </w:pPr>
    </w:p>
    <w:p w14:paraId="7FCEDDB1" w14:textId="77777777" w:rsidR="00F00E38" w:rsidRPr="007C4A7E" w:rsidRDefault="00F00E38" w:rsidP="00F00E38">
      <w:pPr>
        <w:rPr>
          <w:rFonts w:cs="Arial"/>
        </w:rPr>
      </w:pPr>
      <w:r w:rsidRPr="007C4A7E">
        <w:rPr>
          <w:rFonts w:cs="Arial"/>
          <w:b/>
        </w:rPr>
        <w:t xml:space="preserve">Malnutrition: </w:t>
      </w:r>
      <w:r w:rsidR="00E65300" w:rsidRPr="007C4A7E">
        <w:rPr>
          <w:rFonts w:cs="Arial"/>
        </w:rPr>
        <w:t xml:space="preserve">A </w:t>
      </w:r>
      <w:r w:rsidR="00342C92" w:rsidRPr="007C4A7E">
        <w:rPr>
          <w:rFonts w:cs="Arial"/>
        </w:rPr>
        <w:t>medical</w:t>
      </w:r>
      <w:r w:rsidRPr="007C4A7E">
        <w:rPr>
          <w:rFonts w:cs="Arial"/>
        </w:rPr>
        <w:t xml:space="preserve"> condition that is diagnosed if two or more of the following are present</w:t>
      </w:r>
      <w:r w:rsidR="00E65300" w:rsidRPr="007C4A7E">
        <w:rPr>
          <w:rFonts w:cs="Arial"/>
        </w:rPr>
        <w:t>:</w:t>
      </w:r>
      <w:r w:rsidRPr="007C4A7E">
        <w:rPr>
          <w:rFonts w:cs="Arial"/>
        </w:rPr>
        <w:t xml:space="preserve"> </w:t>
      </w:r>
      <w:r w:rsidR="00342C92" w:rsidRPr="007C4A7E">
        <w:rPr>
          <w:rFonts w:cs="Arial"/>
        </w:rPr>
        <w:t>weight loss, inadequate food intake, reduced body fat, reduced muscle, reduced handgrip strength, and/or swelling due to excess fluid retention.</w:t>
      </w:r>
    </w:p>
    <w:p w14:paraId="3E1BB97A" w14:textId="77777777" w:rsidR="00F00E38" w:rsidRPr="007C4A7E" w:rsidRDefault="00F00E38" w:rsidP="00586936">
      <w:pPr>
        <w:rPr>
          <w:rFonts w:cs="Arial"/>
          <w:b/>
          <w:bCs/>
        </w:rPr>
      </w:pPr>
    </w:p>
    <w:p w14:paraId="48A73FA2" w14:textId="2A0AE84D" w:rsidR="00F6235C" w:rsidRPr="007C4A7E" w:rsidRDefault="00F6235C" w:rsidP="00586936">
      <w:pPr>
        <w:rPr>
          <w:rFonts w:cs="Arial"/>
          <w:b/>
          <w:bCs/>
        </w:rPr>
      </w:pPr>
      <w:r w:rsidRPr="007C4A7E">
        <w:rPr>
          <w:rFonts w:cs="Arial"/>
          <w:b/>
          <w:bCs/>
        </w:rPr>
        <w:t xml:space="preserve">Malnutrition Screening: </w:t>
      </w:r>
      <w:r w:rsidRPr="007C4A7E">
        <w:rPr>
          <w:rFonts w:cs="Arial"/>
        </w:rPr>
        <w:t xml:space="preserve">Tools </w:t>
      </w:r>
      <w:r w:rsidR="00BB4767" w:rsidRPr="007C4A7E">
        <w:rPr>
          <w:rFonts w:cs="Arial"/>
        </w:rPr>
        <w:t>(e.g., questionnaire</w:t>
      </w:r>
      <w:r w:rsidR="00CC65F6" w:rsidRPr="007C4A7E">
        <w:rPr>
          <w:rFonts w:cs="Arial"/>
        </w:rPr>
        <w:t>s</w:t>
      </w:r>
      <w:r w:rsidR="00BB4767" w:rsidRPr="007C4A7E">
        <w:rPr>
          <w:rFonts w:cs="Arial"/>
        </w:rPr>
        <w:t>, procedure</w:t>
      </w:r>
      <w:r w:rsidR="00CC65F6" w:rsidRPr="007C4A7E">
        <w:rPr>
          <w:rFonts w:cs="Arial"/>
        </w:rPr>
        <w:t>s</w:t>
      </w:r>
      <w:r w:rsidR="00BB4767" w:rsidRPr="007C4A7E">
        <w:rPr>
          <w:rFonts w:cs="Arial"/>
        </w:rPr>
        <w:t xml:space="preserve">) </w:t>
      </w:r>
      <w:r w:rsidRPr="007C4A7E">
        <w:rPr>
          <w:rFonts w:cs="Arial"/>
        </w:rPr>
        <w:t xml:space="preserve">used to help assess </w:t>
      </w:r>
      <w:r w:rsidR="00963878" w:rsidRPr="007C4A7E">
        <w:rPr>
          <w:rFonts w:cs="Arial"/>
        </w:rPr>
        <w:t xml:space="preserve">a person’s </w:t>
      </w:r>
      <w:r w:rsidRPr="007C4A7E">
        <w:rPr>
          <w:rFonts w:cs="Arial"/>
        </w:rPr>
        <w:t>risk for malnutrition.</w:t>
      </w:r>
    </w:p>
    <w:p w14:paraId="5340FA2D" w14:textId="77777777" w:rsidR="00F6235C" w:rsidRPr="007C4A7E" w:rsidRDefault="00F6235C" w:rsidP="00586936">
      <w:pPr>
        <w:rPr>
          <w:rFonts w:cs="Arial"/>
          <w:b/>
          <w:bCs/>
        </w:rPr>
      </w:pPr>
    </w:p>
    <w:p w14:paraId="7ECA5F65" w14:textId="0A03F03D" w:rsidR="00586936" w:rsidRPr="007C4A7E" w:rsidRDefault="00586936" w:rsidP="00586936">
      <w:pPr>
        <w:rPr>
          <w:rFonts w:cs="Arial"/>
        </w:rPr>
      </w:pPr>
      <w:r w:rsidRPr="007C4A7E">
        <w:rPr>
          <w:rFonts w:cs="Arial"/>
          <w:b/>
          <w:bCs/>
        </w:rPr>
        <w:t xml:space="preserve">Medically Tailored Meals: </w:t>
      </w:r>
      <w:r w:rsidRPr="007C4A7E">
        <w:rPr>
          <w:rFonts w:cs="Arial"/>
        </w:rPr>
        <w:t xml:space="preserve">Meals approved by a </w:t>
      </w:r>
      <w:r w:rsidR="0066591C" w:rsidRPr="007C4A7E">
        <w:rPr>
          <w:rFonts w:cs="Arial"/>
        </w:rPr>
        <w:t xml:space="preserve">registered dietitian </w:t>
      </w:r>
      <w:r w:rsidRPr="007C4A7E">
        <w:rPr>
          <w:rFonts w:cs="Arial"/>
        </w:rPr>
        <w:t>that reflect appropriate dietary therapy based on evidence-based practice guidelines</w:t>
      </w:r>
      <w:r w:rsidR="00E65300" w:rsidRPr="007C4A7E">
        <w:rPr>
          <w:rFonts w:cs="Arial"/>
        </w:rPr>
        <w:t>.</w:t>
      </w:r>
    </w:p>
    <w:p w14:paraId="34BA97BC" w14:textId="77777777" w:rsidR="00F00E38" w:rsidRPr="007C4A7E" w:rsidRDefault="00F00E38" w:rsidP="00586936">
      <w:pPr>
        <w:rPr>
          <w:rFonts w:cs="Arial"/>
        </w:rPr>
      </w:pPr>
    </w:p>
    <w:p w14:paraId="755BCC74" w14:textId="16E38F1B" w:rsidR="00F00E38" w:rsidRPr="007C4A7E" w:rsidRDefault="00F00E38" w:rsidP="005D6EEF">
      <w:pPr>
        <w:rPr>
          <w:rFonts w:cs="Arial"/>
        </w:rPr>
      </w:pPr>
      <w:r w:rsidRPr="007C4A7E">
        <w:rPr>
          <w:rFonts w:cs="Arial"/>
          <w:b/>
        </w:rPr>
        <w:t xml:space="preserve">Nutrition Screening: </w:t>
      </w:r>
      <w:r w:rsidR="00E65300" w:rsidRPr="007C4A7E">
        <w:rPr>
          <w:rFonts w:cs="Arial"/>
        </w:rPr>
        <w:t>T</w:t>
      </w:r>
      <w:r w:rsidRPr="007C4A7E">
        <w:rPr>
          <w:rFonts w:cs="Arial"/>
        </w:rPr>
        <w:t xml:space="preserve">ools </w:t>
      </w:r>
      <w:r w:rsidR="00BB4767" w:rsidRPr="007C4A7E">
        <w:rPr>
          <w:rFonts w:cs="Arial"/>
        </w:rPr>
        <w:t>(e.g., questionnaire</w:t>
      </w:r>
      <w:r w:rsidR="00CC65F6" w:rsidRPr="007C4A7E">
        <w:rPr>
          <w:rFonts w:cs="Arial"/>
        </w:rPr>
        <w:t>s</w:t>
      </w:r>
      <w:r w:rsidR="00BB4767" w:rsidRPr="007C4A7E">
        <w:rPr>
          <w:rFonts w:cs="Arial"/>
        </w:rPr>
        <w:t>, procedure</w:t>
      </w:r>
      <w:r w:rsidR="00CC65F6" w:rsidRPr="007C4A7E">
        <w:rPr>
          <w:rFonts w:cs="Arial"/>
        </w:rPr>
        <w:t>s</w:t>
      </w:r>
      <w:r w:rsidR="00BB4767" w:rsidRPr="007C4A7E">
        <w:rPr>
          <w:rFonts w:cs="Arial"/>
        </w:rPr>
        <w:t xml:space="preserve">) </w:t>
      </w:r>
      <w:r w:rsidRPr="007C4A7E">
        <w:rPr>
          <w:rFonts w:cs="Arial"/>
        </w:rPr>
        <w:t xml:space="preserve">used to help assess </w:t>
      </w:r>
      <w:r w:rsidR="00963878" w:rsidRPr="007C4A7E">
        <w:rPr>
          <w:rFonts w:cs="Arial"/>
        </w:rPr>
        <w:t xml:space="preserve">a person’s </w:t>
      </w:r>
      <w:r w:rsidRPr="007C4A7E">
        <w:rPr>
          <w:rFonts w:cs="Arial"/>
        </w:rPr>
        <w:t>nutritional status. Often used to identify food insecurity or risk of malnutrition</w:t>
      </w:r>
      <w:r w:rsidR="00CC65F6" w:rsidRPr="007C4A7E">
        <w:rPr>
          <w:rFonts w:cs="Arial"/>
        </w:rPr>
        <w:t xml:space="preserve">. </w:t>
      </w:r>
    </w:p>
    <w:p w14:paraId="5DBF7114" w14:textId="77777777" w:rsidR="00F00E38" w:rsidRPr="007C4A7E" w:rsidRDefault="00F00E38" w:rsidP="005D6EEF">
      <w:pPr>
        <w:rPr>
          <w:rFonts w:cs="Arial"/>
        </w:rPr>
      </w:pPr>
    </w:p>
    <w:p w14:paraId="1461FEAF" w14:textId="2AC86ADA" w:rsidR="00F00E38" w:rsidRPr="007C4A7E" w:rsidRDefault="00586936" w:rsidP="00BB4767">
      <w:pPr>
        <w:rPr>
          <w:rFonts w:cs="Arial"/>
        </w:rPr>
      </w:pPr>
      <w:r w:rsidRPr="007C4A7E">
        <w:rPr>
          <w:rFonts w:cs="Arial"/>
          <w:b/>
          <w:bCs/>
        </w:rPr>
        <w:t xml:space="preserve">Nutrition Security: </w:t>
      </w:r>
      <w:r w:rsidR="00BB4767" w:rsidRPr="007C4A7E">
        <w:rPr>
          <w:rFonts w:cs="Arial"/>
        </w:rPr>
        <w:t xml:space="preserve">When a person </w:t>
      </w:r>
      <w:r w:rsidR="00963878" w:rsidRPr="007C4A7E">
        <w:rPr>
          <w:rFonts w:cs="Arial"/>
        </w:rPr>
        <w:t xml:space="preserve">regularly </w:t>
      </w:r>
      <w:r w:rsidR="00BB4767" w:rsidRPr="007C4A7E">
        <w:rPr>
          <w:rFonts w:cs="Arial"/>
        </w:rPr>
        <w:t>has</w:t>
      </w:r>
      <w:r w:rsidRPr="007C4A7E">
        <w:rPr>
          <w:rFonts w:cs="Arial"/>
        </w:rPr>
        <w:t xml:space="preserve"> access to sufficient, safe, and nutritious food that meets their dietary needs and food preferences for an active and healthy lifestyle</w:t>
      </w:r>
      <w:r w:rsidR="00BB4767" w:rsidRPr="007C4A7E">
        <w:rPr>
          <w:rFonts w:cs="Arial"/>
        </w:rPr>
        <w:t>.</w:t>
      </w:r>
      <w:r w:rsidRPr="007C4A7E">
        <w:rPr>
          <w:rFonts w:cs="Arial"/>
        </w:rPr>
        <w:t xml:space="preserve"> </w:t>
      </w:r>
    </w:p>
    <w:p w14:paraId="0E744111" w14:textId="77777777" w:rsidR="00BB4767" w:rsidRPr="007C4A7E" w:rsidRDefault="00BB4767" w:rsidP="00BB4767">
      <w:pPr>
        <w:rPr>
          <w:rFonts w:cs="Arial"/>
        </w:rPr>
      </w:pPr>
    </w:p>
    <w:p w14:paraId="1CF0D337" w14:textId="3DFDB654" w:rsidR="00F00E38" w:rsidRPr="007C4A7E" w:rsidRDefault="00F00E38" w:rsidP="00F00E38">
      <w:pPr>
        <w:rPr>
          <w:rFonts w:cs="Arial"/>
        </w:rPr>
      </w:pPr>
      <w:r w:rsidRPr="007C4A7E">
        <w:rPr>
          <w:rFonts w:cs="Arial"/>
          <w:b/>
        </w:rPr>
        <w:t>OAA:</w:t>
      </w:r>
      <w:r w:rsidRPr="007C4A7E">
        <w:rPr>
          <w:rFonts w:cs="Arial"/>
        </w:rPr>
        <w:t xml:space="preserve"> </w:t>
      </w:r>
      <w:hyperlink r:id="rId20" w:history="1">
        <w:r w:rsidRPr="00964815">
          <w:rPr>
            <w:rStyle w:val="Hyperlink"/>
            <w:rFonts w:cs="Arial"/>
          </w:rPr>
          <w:t>Older Americans Act</w:t>
        </w:r>
      </w:hyperlink>
      <w:r w:rsidR="00E65300" w:rsidRPr="007C4A7E">
        <w:rPr>
          <w:rFonts w:cs="Arial"/>
        </w:rPr>
        <w:t xml:space="preserve"> </w:t>
      </w:r>
    </w:p>
    <w:p w14:paraId="5DE394A2" w14:textId="77777777" w:rsidR="00F00E38" w:rsidRPr="007C4A7E" w:rsidRDefault="00F00E38" w:rsidP="00F00E38">
      <w:pPr>
        <w:rPr>
          <w:rFonts w:cs="Arial"/>
        </w:rPr>
      </w:pPr>
    </w:p>
    <w:p w14:paraId="25598951" w14:textId="1C6E1D5A" w:rsidR="00530090" w:rsidRDefault="00C74045" w:rsidP="00DB7672">
      <w:pPr>
        <w:rPr>
          <w:rFonts w:cs="Arial"/>
        </w:rPr>
      </w:pPr>
      <w:r w:rsidRPr="007C4A7E">
        <w:rPr>
          <w:rFonts w:cs="Arial"/>
          <w:b/>
        </w:rPr>
        <w:t xml:space="preserve">Common </w:t>
      </w:r>
      <w:r w:rsidR="00C5697F" w:rsidRPr="007C4A7E">
        <w:rPr>
          <w:rFonts w:cs="Arial"/>
          <w:b/>
        </w:rPr>
        <w:t xml:space="preserve">Warning Signs of Malnutrition: </w:t>
      </w:r>
      <w:r w:rsidR="00C5697F" w:rsidRPr="007C4A7E">
        <w:rPr>
          <w:rFonts w:cs="Arial"/>
        </w:rPr>
        <w:t>Muscle weakness</w:t>
      </w:r>
      <w:r w:rsidR="00C5697F" w:rsidRPr="007C4A7E">
        <w:rPr>
          <w:rFonts w:cs="Arial"/>
          <w:b/>
        </w:rPr>
        <w:t xml:space="preserve">, </w:t>
      </w:r>
      <w:r w:rsidR="00BB4767" w:rsidRPr="007C4A7E">
        <w:rPr>
          <w:rFonts w:cs="Arial"/>
        </w:rPr>
        <w:t>f</w:t>
      </w:r>
      <w:r w:rsidR="00C5697F" w:rsidRPr="007C4A7E">
        <w:rPr>
          <w:rFonts w:cs="Arial"/>
        </w:rPr>
        <w:t>atigue</w:t>
      </w:r>
      <w:r w:rsidR="00C5697F" w:rsidRPr="007C4A7E">
        <w:rPr>
          <w:rFonts w:cs="Arial"/>
          <w:b/>
        </w:rPr>
        <w:t xml:space="preserve">, </w:t>
      </w:r>
      <w:r w:rsidR="00BB4767" w:rsidRPr="007C4A7E">
        <w:rPr>
          <w:rFonts w:cs="Arial"/>
        </w:rPr>
        <w:t>i</w:t>
      </w:r>
      <w:r w:rsidR="00C5697F" w:rsidRPr="007C4A7E">
        <w:rPr>
          <w:rFonts w:cs="Arial"/>
        </w:rPr>
        <w:t>ncreased illness or infection</w:t>
      </w:r>
      <w:r w:rsidR="00BB4767" w:rsidRPr="007C4A7E">
        <w:rPr>
          <w:rFonts w:cs="Arial"/>
        </w:rPr>
        <w:t>s</w:t>
      </w:r>
      <w:r w:rsidR="00C5697F" w:rsidRPr="007C4A7E">
        <w:rPr>
          <w:rFonts w:cs="Arial"/>
          <w:b/>
        </w:rPr>
        <w:t xml:space="preserve">, </w:t>
      </w:r>
      <w:r w:rsidR="00BB4767" w:rsidRPr="007C4A7E">
        <w:rPr>
          <w:rFonts w:cs="Arial"/>
        </w:rPr>
        <w:t>e</w:t>
      </w:r>
      <w:r w:rsidR="00C5697F" w:rsidRPr="007C4A7E">
        <w:rPr>
          <w:rFonts w:cs="Arial"/>
        </w:rPr>
        <w:t>motional irritability or depression</w:t>
      </w:r>
      <w:r w:rsidR="00C5697F" w:rsidRPr="007C4A7E">
        <w:rPr>
          <w:rFonts w:cs="Arial"/>
          <w:b/>
        </w:rPr>
        <w:t xml:space="preserve">, </w:t>
      </w:r>
      <w:r w:rsidR="00BB4767" w:rsidRPr="007C4A7E">
        <w:rPr>
          <w:rFonts w:cs="Arial"/>
        </w:rPr>
        <w:t>u</w:t>
      </w:r>
      <w:r w:rsidR="00C5697F" w:rsidRPr="007C4A7E">
        <w:rPr>
          <w:rFonts w:cs="Arial"/>
        </w:rPr>
        <w:t>nplanned weight loss</w:t>
      </w:r>
      <w:r w:rsidR="00C5697F" w:rsidRPr="007C4A7E">
        <w:rPr>
          <w:rFonts w:cs="Arial"/>
          <w:b/>
        </w:rPr>
        <w:t>,</w:t>
      </w:r>
      <w:r w:rsidR="00BB4767" w:rsidRPr="007C4A7E">
        <w:rPr>
          <w:rFonts w:cs="Arial"/>
          <w:b/>
        </w:rPr>
        <w:t xml:space="preserve"> </w:t>
      </w:r>
      <w:r w:rsidR="00BB4767" w:rsidRPr="007C4A7E">
        <w:rPr>
          <w:rFonts w:cs="Arial"/>
          <w:bCs/>
        </w:rPr>
        <w:t>falls</w:t>
      </w:r>
      <w:r w:rsidR="00963878" w:rsidRPr="007C4A7E">
        <w:rPr>
          <w:rFonts w:cs="Arial"/>
          <w:bCs/>
        </w:rPr>
        <w:t>,</w:t>
      </w:r>
      <w:r w:rsidR="00C5697F" w:rsidRPr="007C4A7E">
        <w:rPr>
          <w:rFonts w:cs="Arial"/>
          <w:bCs/>
        </w:rPr>
        <w:t xml:space="preserve"> </w:t>
      </w:r>
      <w:r w:rsidR="00C5697F" w:rsidRPr="007C4A7E">
        <w:rPr>
          <w:rFonts w:cs="Arial"/>
        </w:rPr>
        <w:t xml:space="preserve">and </w:t>
      </w:r>
      <w:r w:rsidR="00BB4767" w:rsidRPr="007C4A7E">
        <w:rPr>
          <w:rFonts w:cs="Arial"/>
        </w:rPr>
        <w:t>d</w:t>
      </w:r>
      <w:r w:rsidR="00C5697F" w:rsidRPr="007C4A7E">
        <w:rPr>
          <w:rFonts w:cs="Arial"/>
        </w:rPr>
        <w:t>ecreased appetite</w:t>
      </w:r>
      <w:r w:rsidR="00BB4767" w:rsidRPr="007C4A7E">
        <w:rPr>
          <w:rFonts w:cs="Arial"/>
        </w:rPr>
        <w:t>.</w:t>
      </w:r>
    </w:p>
    <w:p w14:paraId="4768D9EA" w14:textId="77777777" w:rsidR="00DB7672" w:rsidRPr="007C4A7E" w:rsidRDefault="00DB7672" w:rsidP="00DB7672">
      <w:pPr>
        <w:rPr>
          <w:rFonts w:cs="Arial"/>
        </w:rPr>
      </w:pPr>
    </w:p>
    <w:p w14:paraId="3DAE8C68" w14:textId="77777777" w:rsidR="00AD62E3" w:rsidRDefault="00AD62E3">
      <w:pPr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br w:type="page"/>
      </w:r>
    </w:p>
    <w:p w14:paraId="34EDDCCC" w14:textId="443B9ACD" w:rsidR="00745E7E" w:rsidRPr="00DB7672" w:rsidRDefault="00745E7E" w:rsidP="00745E7E">
      <w:pPr>
        <w:rPr>
          <w:rFonts w:cs="Arial"/>
          <w:b/>
          <w:sz w:val="24"/>
          <w:szCs w:val="28"/>
        </w:rPr>
      </w:pPr>
      <w:r w:rsidRPr="00DB7672">
        <w:rPr>
          <w:rFonts w:cs="Arial"/>
          <w:b/>
          <w:sz w:val="24"/>
          <w:szCs w:val="28"/>
        </w:rPr>
        <w:lastRenderedPageBreak/>
        <w:t>Resources and Tools</w:t>
      </w:r>
    </w:p>
    <w:p w14:paraId="6128ECF3" w14:textId="77777777" w:rsidR="00EF292B" w:rsidRPr="004B2295" w:rsidRDefault="00EF292B" w:rsidP="00EF292B">
      <w:pPr>
        <w:pStyle w:val="NoSpacing"/>
        <w:numPr>
          <w:ilvl w:val="0"/>
          <w:numId w:val="17"/>
        </w:numPr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"https://acl.gov/senior-nutrition/"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4B2295">
        <w:rPr>
          <w:rStyle w:val="Hyperlink"/>
          <w:rFonts w:ascii="Arial" w:hAnsi="Arial" w:cs="Arial"/>
          <w:sz w:val="22"/>
          <w:szCs w:val="22"/>
        </w:rPr>
        <w:t>N</w:t>
      </w:r>
      <w:r>
        <w:rPr>
          <w:rStyle w:val="Hyperlink"/>
          <w:rFonts w:ascii="Arial" w:hAnsi="Arial" w:cs="Arial"/>
          <w:sz w:val="22"/>
          <w:szCs w:val="22"/>
        </w:rPr>
        <w:t xml:space="preserve">utrition and Aging </w:t>
      </w:r>
      <w:r w:rsidRPr="004B2295">
        <w:rPr>
          <w:rStyle w:val="Hyperlink"/>
          <w:rFonts w:ascii="Arial" w:hAnsi="Arial" w:cs="Arial"/>
          <w:sz w:val="22"/>
          <w:szCs w:val="22"/>
        </w:rPr>
        <w:t>Resource Center</w:t>
      </w:r>
    </w:p>
    <w:p w14:paraId="243C3F4D" w14:textId="7A1713D2" w:rsidR="00745E7E" w:rsidRPr="00ED5D4B" w:rsidRDefault="00EF292B" w:rsidP="00EF292B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hyperlink r:id="rId21" w:history="1"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>Validated Nutritional Risk Screening Tools</w:t>
        </w:r>
      </w:hyperlink>
    </w:p>
    <w:p w14:paraId="52302925" w14:textId="4A48C613" w:rsidR="00DC1DF3" w:rsidRPr="009A2CFE" w:rsidRDefault="00900200" w:rsidP="009A2CFE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hyperlink r:id="rId22" w:history="1"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 xml:space="preserve">Malnutrition </w:t>
        </w:r>
        <w:r w:rsidR="006548A7" w:rsidRPr="00ED5D4B">
          <w:rPr>
            <w:rStyle w:val="Hyperlink"/>
            <w:rFonts w:ascii="Arial" w:hAnsi="Arial" w:cs="Arial"/>
            <w:sz w:val="22"/>
            <w:szCs w:val="22"/>
          </w:rPr>
          <w:t>A</w:t>
        </w:r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 xml:space="preserve">wareness </w:t>
        </w:r>
        <w:r w:rsidR="006548A7" w:rsidRPr="00ED5D4B">
          <w:rPr>
            <w:rStyle w:val="Hyperlink"/>
            <w:rFonts w:ascii="Arial" w:hAnsi="Arial" w:cs="Arial"/>
            <w:sz w:val="22"/>
            <w:szCs w:val="22"/>
          </w:rPr>
          <w:t>W</w:t>
        </w:r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>eek</w:t>
        </w:r>
      </w:hyperlink>
      <w:r w:rsidR="00745E7E" w:rsidRPr="00ED5D4B">
        <w:rPr>
          <w:rFonts w:ascii="Arial" w:hAnsi="Arial" w:cs="Arial"/>
          <w:sz w:val="22"/>
          <w:szCs w:val="22"/>
        </w:rPr>
        <w:t xml:space="preserve"> (October 4-8, 2021)</w:t>
      </w:r>
    </w:p>
    <w:p w14:paraId="5446B8A3" w14:textId="3443025D" w:rsidR="00745E7E" w:rsidRPr="00ED5D4B" w:rsidRDefault="00900200" w:rsidP="00745E7E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hyperlink r:id="rId23" w:history="1"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>Mozaffarian D, Fleischhacker S, Andrés JR. Prioritizing Nutrition Security in the US. </w:t>
        </w:r>
        <w:r w:rsidR="00745E7E" w:rsidRPr="00ED5D4B">
          <w:rPr>
            <w:rStyle w:val="Hyperlink"/>
            <w:rFonts w:ascii="Arial" w:hAnsi="Arial" w:cs="Arial"/>
            <w:i/>
            <w:sz w:val="22"/>
            <w:szCs w:val="22"/>
          </w:rPr>
          <w:t>JAMA.</w:t>
        </w:r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> 2021;325(16):1605–1606. doi:10.1001/jama.2021.1915</w:t>
        </w:r>
      </w:hyperlink>
      <w:r w:rsidR="00745E7E" w:rsidRPr="00ED5D4B">
        <w:rPr>
          <w:rFonts w:ascii="Arial" w:hAnsi="Arial" w:cs="Arial"/>
          <w:sz w:val="22"/>
          <w:szCs w:val="22"/>
        </w:rPr>
        <w:t xml:space="preserve"> </w:t>
      </w:r>
    </w:p>
    <w:p w14:paraId="382618C3" w14:textId="5950F8D8" w:rsidR="00745E7E" w:rsidRPr="00ED5D4B" w:rsidRDefault="00900200" w:rsidP="00745E7E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hyperlink r:id="rId24" w:history="1"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>Stepping Up Your Nutrition Community-based Workshop</w:t>
        </w:r>
      </w:hyperlink>
      <w:r w:rsidR="00745E7E" w:rsidRPr="00ED5D4B">
        <w:rPr>
          <w:rFonts w:ascii="Arial" w:hAnsi="Arial" w:cs="Arial"/>
          <w:sz w:val="22"/>
          <w:szCs w:val="22"/>
        </w:rPr>
        <w:t xml:space="preserve"> </w:t>
      </w:r>
    </w:p>
    <w:p w14:paraId="2890B89F" w14:textId="51385169" w:rsidR="00745E7E" w:rsidRPr="00ED5D4B" w:rsidRDefault="00900200" w:rsidP="00745E7E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hyperlink r:id="rId25" w:history="1"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>Eat Well, Age Well, Eat Well, Care Well</w:t>
        </w:r>
      </w:hyperlink>
    </w:p>
    <w:p w14:paraId="62AE75D7" w14:textId="3D738AB6" w:rsidR="00745E7E" w:rsidRPr="00ED5D4B" w:rsidRDefault="00900200" w:rsidP="002F61B5">
      <w:pPr>
        <w:pStyle w:val="NoSpacing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hyperlink r:id="rId26" w:history="1"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 xml:space="preserve">Addressing Food Insecurity &amp; Malnutrition in Older Adults in the Age of COVID-19 </w:t>
        </w:r>
      </w:hyperlink>
      <w:r w:rsidR="00745E7E" w:rsidRPr="00ED5D4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EBA021" w14:textId="6CE768FB" w:rsidR="00745E7E" w:rsidRPr="00ED5D4B" w:rsidRDefault="00900200" w:rsidP="00745E7E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hyperlink r:id="rId27" w:history="1"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>Malnutrition in Community Living Older Adults: A Toolkit for Area Agencies on Aging</w:t>
        </w:r>
      </w:hyperlink>
      <w:r w:rsidR="00745E7E" w:rsidRPr="00ED5D4B">
        <w:rPr>
          <w:rFonts w:ascii="Arial" w:hAnsi="Arial" w:cs="Arial"/>
          <w:sz w:val="22"/>
          <w:szCs w:val="22"/>
        </w:rPr>
        <w:t xml:space="preserve"> </w:t>
      </w:r>
    </w:p>
    <w:p w14:paraId="679AB536" w14:textId="2E9D0D38" w:rsidR="00745E7E" w:rsidRPr="00ED5D4B" w:rsidRDefault="00900200" w:rsidP="002F61B5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hyperlink r:id="rId28" w:history="1"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>Medically Tailored Meals research</w:t>
        </w:r>
      </w:hyperlink>
    </w:p>
    <w:p w14:paraId="5E93D834" w14:textId="1370F3A6" w:rsidR="004E34C4" w:rsidRPr="00AB78E0" w:rsidRDefault="00900200" w:rsidP="00AB78E0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hyperlink r:id="rId29" w:history="1">
        <w:r w:rsidR="00745E7E" w:rsidRPr="00ED5D4B">
          <w:rPr>
            <w:rStyle w:val="Hyperlink"/>
            <w:rFonts w:ascii="Arial" w:hAnsi="Arial" w:cs="Arial"/>
            <w:sz w:val="22"/>
            <w:szCs w:val="22"/>
          </w:rPr>
          <w:t>National Food is Medicine Coalition</w:t>
        </w:r>
      </w:hyperlink>
    </w:p>
    <w:p w14:paraId="7406C7A6" w14:textId="77777777" w:rsidR="00FD4597" w:rsidRDefault="00FD4597" w:rsidP="00FD4597">
      <w:pPr>
        <w:rPr>
          <w:rFonts w:cs="Arial"/>
        </w:rPr>
      </w:pPr>
    </w:p>
    <w:p w14:paraId="0666E605" w14:textId="5BDACD67" w:rsidR="00135A0C" w:rsidRPr="007C4A7E" w:rsidRDefault="00135A0C" w:rsidP="00ED5D4B">
      <w:pPr>
        <w:spacing w:before="240"/>
        <w:rPr>
          <w:rFonts w:cs="Arial"/>
        </w:rPr>
      </w:pPr>
      <w:r w:rsidRPr="007C4A7E">
        <w:rPr>
          <w:rFonts w:cs="Arial"/>
        </w:rPr>
        <w:t xml:space="preserve">This material was developed by </w:t>
      </w:r>
      <w:r w:rsidR="00963878" w:rsidRPr="007C4A7E">
        <w:rPr>
          <w:rFonts w:cs="Arial"/>
        </w:rPr>
        <w:t xml:space="preserve">ACL Intern </w:t>
      </w:r>
      <w:r w:rsidRPr="007C4A7E">
        <w:rPr>
          <w:rFonts w:cs="Arial"/>
        </w:rPr>
        <w:t>Mackenzie Brown, Tufts University, 2021.</w:t>
      </w:r>
    </w:p>
    <w:sectPr w:rsidR="00135A0C" w:rsidRPr="007C4A7E" w:rsidSect="00C03D98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FCB1C" w14:textId="77777777" w:rsidR="00F1103F" w:rsidRDefault="00F1103F" w:rsidP="00CC65F6">
      <w:r>
        <w:separator/>
      </w:r>
    </w:p>
  </w:endnote>
  <w:endnote w:type="continuationSeparator" w:id="0">
    <w:p w14:paraId="6781175C" w14:textId="77777777" w:rsidR="00F1103F" w:rsidRDefault="00F1103F" w:rsidP="00CC65F6">
      <w:r>
        <w:continuationSeparator/>
      </w:r>
    </w:p>
  </w:endnote>
  <w:endnote w:type="continuationNotice" w:id="1">
    <w:p w14:paraId="283169A1" w14:textId="77777777" w:rsidR="00F1103F" w:rsidRDefault="00F11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956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2AB1B" w14:textId="74B3C237" w:rsidR="00CC65F6" w:rsidRDefault="00CC65F6" w:rsidP="00ED5D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6D851" w14:textId="77777777" w:rsidR="00F1103F" w:rsidRDefault="00F1103F" w:rsidP="00CC65F6">
      <w:r>
        <w:separator/>
      </w:r>
    </w:p>
  </w:footnote>
  <w:footnote w:type="continuationSeparator" w:id="0">
    <w:p w14:paraId="5F508547" w14:textId="77777777" w:rsidR="00F1103F" w:rsidRDefault="00F1103F" w:rsidP="00CC65F6">
      <w:r>
        <w:continuationSeparator/>
      </w:r>
    </w:p>
  </w:footnote>
  <w:footnote w:type="continuationNotice" w:id="1">
    <w:p w14:paraId="721AF4BA" w14:textId="77777777" w:rsidR="00F1103F" w:rsidRDefault="00F110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231A"/>
    <w:multiLevelType w:val="hybridMultilevel"/>
    <w:tmpl w:val="AC8CF0BC"/>
    <w:lvl w:ilvl="0" w:tplc="BBF8AA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48C3"/>
    <w:multiLevelType w:val="hybridMultilevel"/>
    <w:tmpl w:val="FC5E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3D68"/>
    <w:multiLevelType w:val="multilevel"/>
    <w:tmpl w:val="23D2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C537A"/>
    <w:multiLevelType w:val="hybridMultilevel"/>
    <w:tmpl w:val="814489C2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30323B80"/>
    <w:multiLevelType w:val="hybridMultilevel"/>
    <w:tmpl w:val="A4B0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B3C67"/>
    <w:multiLevelType w:val="hybridMultilevel"/>
    <w:tmpl w:val="4A46DB24"/>
    <w:lvl w:ilvl="0" w:tplc="A3E07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130FC"/>
    <w:multiLevelType w:val="hybridMultilevel"/>
    <w:tmpl w:val="D4AE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04CC8"/>
    <w:multiLevelType w:val="hybridMultilevel"/>
    <w:tmpl w:val="6128A418"/>
    <w:lvl w:ilvl="0" w:tplc="8502039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D40E8"/>
    <w:multiLevelType w:val="hybridMultilevel"/>
    <w:tmpl w:val="6A9E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6474"/>
    <w:multiLevelType w:val="hybridMultilevel"/>
    <w:tmpl w:val="8BFC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37A7A"/>
    <w:multiLevelType w:val="hybridMultilevel"/>
    <w:tmpl w:val="EA6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E78C9"/>
    <w:multiLevelType w:val="hybridMultilevel"/>
    <w:tmpl w:val="2CCE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71F5E"/>
    <w:multiLevelType w:val="hybridMultilevel"/>
    <w:tmpl w:val="FE20A82C"/>
    <w:lvl w:ilvl="0" w:tplc="322AD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82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A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A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8C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E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66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04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7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4D7BB1"/>
    <w:multiLevelType w:val="hybridMultilevel"/>
    <w:tmpl w:val="222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67D44"/>
    <w:multiLevelType w:val="hybridMultilevel"/>
    <w:tmpl w:val="BE9A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46281"/>
    <w:multiLevelType w:val="hybridMultilevel"/>
    <w:tmpl w:val="9906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603DD"/>
    <w:multiLevelType w:val="hybridMultilevel"/>
    <w:tmpl w:val="DFBE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157D1"/>
    <w:multiLevelType w:val="hybridMultilevel"/>
    <w:tmpl w:val="8562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B3489"/>
    <w:multiLevelType w:val="hybridMultilevel"/>
    <w:tmpl w:val="39DE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8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  <w:num w:numId="13">
    <w:abstractNumId w:val="13"/>
  </w:num>
  <w:num w:numId="14">
    <w:abstractNumId w:val="7"/>
  </w:num>
  <w:num w:numId="15">
    <w:abstractNumId w:val="15"/>
  </w:num>
  <w:num w:numId="16">
    <w:abstractNumId w:val="2"/>
  </w:num>
  <w:num w:numId="17">
    <w:abstractNumId w:val="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94"/>
    <w:rsid w:val="00031F8D"/>
    <w:rsid w:val="00063E72"/>
    <w:rsid w:val="00066E2A"/>
    <w:rsid w:val="00077DF5"/>
    <w:rsid w:val="000A2BEA"/>
    <w:rsid w:val="000D24BE"/>
    <w:rsid w:val="000F3BC0"/>
    <w:rsid w:val="00103B7A"/>
    <w:rsid w:val="00111524"/>
    <w:rsid w:val="00127D74"/>
    <w:rsid w:val="00135A0C"/>
    <w:rsid w:val="00157C5D"/>
    <w:rsid w:val="00170E1B"/>
    <w:rsid w:val="0019028D"/>
    <w:rsid w:val="0019677A"/>
    <w:rsid w:val="0021319D"/>
    <w:rsid w:val="0022032A"/>
    <w:rsid w:val="002223C7"/>
    <w:rsid w:val="00231F3A"/>
    <w:rsid w:val="00235E86"/>
    <w:rsid w:val="00237FC1"/>
    <w:rsid w:val="002431F5"/>
    <w:rsid w:val="00245AF0"/>
    <w:rsid w:val="00247C6B"/>
    <w:rsid w:val="002651D9"/>
    <w:rsid w:val="002735DA"/>
    <w:rsid w:val="00283080"/>
    <w:rsid w:val="002A7169"/>
    <w:rsid w:val="002B2A08"/>
    <w:rsid w:val="002C630A"/>
    <w:rsid w:val="002D32A4"/>
    <w:rsid w:val="002F61B5"/>
    <w:rsid w:val="00342C92"/>
    <w:rsid w:val="00344E82"/>
    <w:rsid w:val="0038036B"/>
    <w:rsid w:val="003815DA"/>
    <w:rsid w:val="00381608"/>
    <w:rsid w:val="00382B86"/>
    <w:rsid w:val="003844F2"/>
    <w:rsid w:val="003A5725"/>
    <w:rsid w:val="003A5DC5"/>
    <w:rsid w:val="003B2D2A"/>
    <w:rsid w:val="003C1C23"/>
    <w:rsid w:val="003D3F51"/>
    <w:rsid w:val="004063FB"/>
    <w:rsid w:val="0044187C"/>
    <w:rsid w:val="00461668"/>
    <w:rsid w:val="00470D5D"/>
    <w:rsid w:val="00481AA6"/>
    <w:rsid w:val="0049770A"/>
    <w:rsid w:val="004A3DB9"/>
    <w:rsid w:val="004B2295"/>
    <w:rsid w:val="004B7A9B"/>
    <w:rsid w:val="004D7680"/>
    <w:rsid w:val="004E34C4"/>
    <w:rsid w:val="004E357B"/>
    <w:rsid w:val="004F1278"/>
    <w:rsid w:val="004F2B17"/>
    <w:rsid w:val="004F42D8"/>
    <w:rsid w:val="00524F08"/>
    <w:rsid w:val="00530090"/>
    <w:rsid w:val="00531DCE"/>
    <w:rsid w:val="00561463"/>
    <w:rsid w:val="00562170"/>
    <w:rsid w:val="00567273"/>
    <w:rsid w:val="00586936"/>
    <w:rsid w:val="005940C7"/>
    <w:rsid w:val="005C79BD"/>
    <w:rsid w:val="005D0D56"/>
    <w:rsid w:val="005D6EEF"/>
    <w:rsid w:val="005E220D"/>
    <w:rsid w:val="005E3DF3"/>
    <w:rsid w:val="005F3A7B"/>
    <w:rsid w:val="00611DCB"/>
    <w:rsid w:val="00627630"/>
    <w:rsid w:val="00633D0B"/>
    <w:rsid w:val="00633D69"/>
    <w:rsid w:val="006548A7"/>
    <w:rsid w:val="0066591C"/>
    <w:rsid w:val="00680BCF"/>
    <w:rsid w:val="006819B0"/>
    <w:rsid w:val="006C21B9"/>
    <w:rsid w:val="006E174D"/>
    <w:rsid w:val="00700AE8"/>
    <w:rsid w:val="0070765B"/>
    <w:rsid w:val="00720478"/>
    <w:rsid w:val="00745E7E"/>
    <w:rsid w:val="00752DA9"/>
    <w:rsid w:val="00760034"/>
    <w:rsid w:val="007660D0"/>
    <w:rsid w:val="00774547"/>
    <w:rsid w:val="007814C0"/>
    <w:rsid w:val="0078433B"/>
    <w:rsid w:val="007847CA"/>
    <w:rsid w:val="007C4A7E"/>
    <w:rsid w:val="007D45C5"/>
    <w:rsid w:val="007D5194"/>
    <w:rsid w:val="007F0B3D"/>
    <w:rsid w:val="00807772"/>
    <w:rsid w:val="0081470B"/>
    <w:rsid w:val="0082531E"/>
    <w:rsid w:val="0083467C"/>
    <w:rsid w:val="008378D0"/>
    <w:rsid w:val="00842BDE"/>
    <w:rsid w:val="0086006B"/>
    <w:rsid w:val="008612B7"/>
    <w:rsid w:val="00883183"/>
    <w:rsid w:val="00894DBD"/>
    <w:rsid w:val="008A39E1"/>
    <w:rsid w:val="008C134C"/>
    <w:rsid w:val="008C53B0"/>
    <w:rsid w:val="008D3546"/>
    <w:rsid w:val="008D4F00"/>
    <w:rsid w:val="008D5EC7"/>
    <w:rsid w:val="008F589E"/>
    <w:rsid w:val="00900200"/>
    <w:rsid w:val="00900670"/>
    <w:rsid w:val="00913343"/>
    <w:rsid w:val="00920458"/>
    <w:rsid w:val="00963878"/>
    <w:rsid w:val="00964815"/>
    <w:rsid w:val="00981B24"/>
    <w:rsid w:val="00991ED1"/>
    <w:rsid w:val="009A2CFE"/>
    <w:rsid w:val="009A2D48"/>
    <w:rsid w:val="009C692E"/>
    <w:rsid w:val="009D4028"/>
    <w:rsid w:val="009E2DB8"/>
    <w:rsid w:val="00A1113F"/>
    <w:rsid w:val="00A40B82"/>
    <w:rsid w:val="00A50084"/>
    <w:rsid w:val="00A566C2"/>
    <w:rsid w:val="00A614C3"/>
    <w:rsid w:val="00A82A22"/>
    <w:rsid w:val="00A84BF7"/>
    <w:rsid w:val="00AB78E0"/>
    <w:rsid w:val="00AD62E3"/>
    <w:rsid w:val="00AE45D1"/>
    <w:rsid w:val="00AF6175"/>
    <w:rsid w:val="00AF6CCA"/>
    <w:rsid w:val="00AF79B7"/>
    <w:rsid w:val="00B0337F"/>
    <w:rsid w:val="00B11909"/>
    <w:rsid w:val="00B276E9"/>
    <w:rsid w:val="00B37757"/>
    <w:rsid w:val="00B5208B"/>
    <w:rsid w:val="00B658A3"/>
    <w:rsid w:val="00B75A19"/>
    <w:rsid w:val="00B86764"/>
    <w:rsid w:val="00B95303"/>
    <w:rsid w:val="00BA61F0"/>
    <w:rsid w:val="00BA77C7"/>
    <w:rsid w:val="00BB4767"/>
    <w:rsid w:val="00BC0130"/>
    <w:rsid w:val="00BC2849"/>
    <w:rsid w:val="00BD250F"/>
    <w:rsid w:val="00BE138D"/>
    <w:rsid w:val="00BE2591"/>
    <w:rsid w:val="00C03D98"/>
    <w:rsid w:val="00C045AD"/>
    <w:rsid w:val="00C11543"/>
    <w:rsid w:val="00C13A00"/>
    <w:rsid w:val="00C32EAF"/>
    <w:rsid w:val="00C3799C"/>
    <w:rsid w:val="00C427CD"/>
    <w:rsid w:val="00C52443"/>
    <w:rsid w:val="00C5697F"/>
    <w:rsid w:val="00C74045"/>
    <w:rsid w:val="00C774B1"/>
    <w:rsid w:val="00CC65F6"/>
    <w:rsid w:val="00CD19A9"/>
    <w:rsid w:val="00CD4D18"/>
    <w:rsid w:val="00CE6226"/>
    <w:rsid w:val="00CF3CA2"/>
    <w:rsid w:val="00D0291C"/>
    <w:rsid w:val="00D165AA"/>
    <w:rsid w:val="00D37C3E"/>
    <w:rsid w:val="00D5235F"/>
    <w:rsid w:val="00D94C1F"/>
    <w:rsid w:val="00D95348"/>
    <w:rsid w:val="00DB7672"/>
    <w:rsid w:val="00DC1DF3"/>
    <w:rsid w:val="00DC2CAE"/>
    <w:rsid w:val="00DD4CB2"/>
    <w:rsid w:val="00DD7102"/>
    <w:rsid w:val="00DF7A7E"/>
    <w:rsid w:val="00E02417"/>
    <w:rsid w:val="00E507D6"/>
    <w:rsid w:val="00E65300"/>
    <w:rsid w:val="00E65FF8"/>
    <w:rsid w:val="00E673F6"/>
    <w:rsid w:val="00E8263C"/>
    <w:rsid w:val="00E82690"/>
    <w:rsid w:val="00E84A0B"/>
    <w:rsid w:val="00E86B70"/>
    <w:rsid w:val="00EA47EA"/>
    <w:rsid w:val="00EA6475"/>
    <w:rsid w:val="00EB4215"/>
    <w:rsid w:val="00EC087A"/>
    <w:rsid w:val="00EC44AA"/>
    <w:rsid w:val="00ED0556"/>
    <w:rsid w:val="00ED5D4B"/>
    <w:rsid w:val="00EF292B"/>
    <w:rsid w:val="00EF3F6C"/>
    <w:rsid w:val="00F00E38"/>
    <w:rsid w:val="00F1103F"/>
    <w:rsid w:val="00F125F8"/>
    <w:rsid w:val="00F376DC"/>
    <w:rsid w:val="00F4156B"/>
    <w:rsid w:val="00F41BE0"/>
    <w:rsid w:val="00F60BD1"/>
    <w:rsid w:val="00F6235C"/>
    <w:rsid w:val="00F736C9"/>
    <w:rsid w:val="00FD4597"/>
    <w:rsid w:val="00FF002A"/>
    <w:rsid w:val="00FF70C7"/>
    <w:rsid w:val="052DD8E3"/>
    <w:rsid w:val="1EAB5BC6"/>
    <w:rsid w:val="22BCAC07"/>
    <w:rsid w:val="518AAFAE"/>
    <w:rsid w:val="5C06C4DA"/>
    <w:rsid w:val="6F2E1345"/>
    <w:rsid w:val="7BB6C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4D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7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6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2B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66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A566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2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2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A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2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F0B3D"/>
    <w:rPr>
      <w:i/>
      <w:iCs/>
    </w:rPr>
  </w:style>
  <w:style w:type="paragraph" w:styleId="Revision">
    <w:name w:val="Revision"/>
    <w:hidden/>
    <w:uiPriority w:val="99"/>
    <w:semiHidden/>
    <w:rsid w:val="00BC0130"/>
  </w:style>
  <w:style w:type="paragraph" w:styleId="NoSpacing">
    <w:name w:val="No Spacing"/>
    <w:uiPriority w:val="1"/>
    <w:qFormat/>
    <w:rsid w:val="00E86B70"/>
  </w:style>
  <w:style w:type="paragraph" w:styleId="Header">
    <w:name w:val="header"/>
    <w:basedOn w:val="Normal"/>
    <w:link w:val="HeaderChar"/>
    <w:uiPriority w:val="99"/>
    <w:unhideWhenUsed/>
    <w:rsid w:val="00CC6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F6"/>
  </w:style>
  <w:style w:type="paragraph" w:styleId="Footer">
    <w:name w:val="footer"/>
    <w:basedOn w:val="Normal"/>
    <w:link w:val="FooterChar"/>
    <w:uiPriority w:val="99"/>
    <w:unhideWhenUsed/>
    <w:rsid w:val="00CC6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F6"/>
  </w:style>
  <w:style w:type="character" w:styleId="UnresolvedMention">
    <w:name w:val="Unresolved Mention"/>
    <w:basedOn w:val="DefaultParagraphFont"/>
    <w:uiPriority w:val="99"/>
    <w:semiHidden/>
    <w:unhideWhenUsed/>
    <w:rsid w:val="00235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0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l.gov/programs/health-wellness/nutrition-services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acl.gov/sites/default/files/programs/Senior_Nutrition/AddressingFoodInsecurityMalnutritionCOVID19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efeatmalnutrition.today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gwaar.org/api/cms/viewFile/id/2003422" TargetMode="External"/><Relationship Id="rId25" Type="http://schemas.openxmlformats.org/officeDocument/2006/relationships/hyperlink" Target="https://gwaar.org/nutrition-education-and-activities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waar.org/elderly-nutrition-program-for-seniors" TargetMode="External"/><Relationship Id="rId20" Type="http://schemas.openxmlformats.org/officeDocument/2006/relationships/hyperlink" Target="https://acl.gov/about-acl/authorizing-statutes/older-americans-act" TargetMode="External"/><Relationship Id="rId29" Type="http://schemas.openxmlformats.org/officeDocument/2006/relationships/hyperlink" Target="http://www.fimcoalition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l.gov/SeniorNutrition" TargetMode="External"/><Relationship Id="rId24" Type="http://schemas.openxmlformats.org/officeDocument/2006/relationships/hyperlink" Target="https://www.steppingupyournutrition.com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urnals.sagepub.com/doi/10.1177/2333721419858438" TargetMode="External"/><Relationship Id="rId23" Type="http://schemas.openxmlformats.org/officeDocument/2006/relationships/hyperlink" Target="https://jamanetwork.com/journals/jama/article-abstract/2778232" TargetMode="External"/><Relationship Id="rId28" Type="http://schemas.openxmlformats.org/officeDocument/2006/relationships/hyperlink" Target="https://www.calfimc.org/re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penhand.org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urnals.sagepub.com/na101/home/literatum/publisher/sage/journals/content/ggma/2019/ggma_5/2333721419858438/20190620/images/large/10.1177_2333721419858438-fig2.jpeg" TargetMode="External"/><Relationship Id="rId22" Type="http://schemas.openxmlformats.org/officeDocument/2006/relationships/hyperlink" Target="http://www.nutritioncare.org/maw/" TargetMode="External"/><Relationship Id="rId27" Type="http://schemas.openxmlformats.org/officeDocument/2006/relationships/hyperlink" Target="https://acl.gov/sites/default/files/programs/Senior_Nutrition/MD_MalnutritionToolkit_508.pdf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4" ma:contentTypeDescription="Create a new document." ma:contentTypeScope="" ma:versionID="3f4835c7fd9c92b412be3f1f371bcd3d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8ee7d375acdf817f48b45adc8155071c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C440A-9F76-4CA6-A87A-CC04218B8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DD774-70A1-446F-8A90-17041D84D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421F1-586D-49F1-B25E-633B5482D945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customXml/itemProps4.xml><?xml version="1.0" encoding="utf-8"?>
<ds:datastoreItem xmlns:ds="http://schemas.openxmlformats.org/officeDocument/2006/customXml" ds:itemID="{F271B825-C94F-4EBD-87C8-34B7EA6CA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Malnutrition and Food Security Tip Sheet</dc:title>
  <dc:subject/>
  <dc:creator>Administration for Community Living</dc:creator>
  <cp:keywords/>
  <dc:description/>
  <cp:lastModifiedBy>Nora Lindner</cp:lastModifiedBy>
  <cp:revision>17</cp:revision>
  <dcterms:created xsi:type="dcterms:W3CDTF">2021-07-13T17:29:00Z</dcterms:created>
  <dcterms:modified xsi:type="dcterms:W3CDTF">2021-07-13T18:00:00Z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