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19A1" w14:textId="77777777" w:rsidR="007C0774" w:rsidRPr="00AB2AC7" w:rsidRDefault="007C0774" w:rsidP="007C0774">
      <w:pPr>
        <w:pStyle w:val="Title"/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</w:pPr>
      <w:r w:rsidRPr="00AB2AC7">
        <w:rPr>
          <w:rFonts w:ascii="Arial" w:eastAsiaTheme="minorHAnsi" w:hAnsi="Arial" w:cs="Arial"/>
          <w:noProof/>
          <w:color w:val="1F3864" w:themeColor="accent5" w:themeShade="80"/>
          <w:spacing w:val="0"/>
          <w:kern w:val="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1A77CD9" wp14:editId="427A3E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45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182" y="21192"/>
                <wp:lineTo x="2118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AC7">
        <w:rPr>
          <w:rFonts w:ascii="Arial" w:eastAsiaTheme="minorHAnsi" w:hAnsi="Arial" w:cs="Arial"/>
          <w:color w:val="1F3864" w:themeColor="accent5" w:themeShade="80"/>
          <w:spacing w:val="0"/>
          <w:kern w:val="0"/>
          <w:sz w:val="36"/>
          <w:szCs w:val="36"/>
        </w:rPr>
        <w:t>Senior Nutrition Program</w:t>
      </w:r>
    </w:p>
    <w:p w14:paraId="6BDB104D" w14:textId="77777777" w:rsidR="007C0774" w:rsidRPr="00D577F6" w:rsidRDefault="00B27B67" w:rsidP="00B27B67">
      <w:pPr>
        <w:pStyle w:val="Title"/>
        <w:rPr>
          <w:rFonts w:ascii="Arial" w:eastAsiaTheme="minorHAnsi" w:hAnsi="Arial" w:cs="Arial"/>
          <w:color w:val="538135" w:themeColor="accent6" w:themeShade="BF"/>
          <w:spacing w:val="0"/>
          <w:kern w:val="0"/>
          <w:sz w:val="36"/>
          <w:szCs w:val="36"/>
        </w:rPr>
      </w:pPr>
      <w:r w:rsidRPr="00D577F6">
        <w:rPr>
          <w:rFonts w:ascii="Arial" w:eastAsiaTheme="minorHAnsi" w:hAnsi="Arial" w:cs="Arial"/>
          <w:color w:val="538135" w:themeColor="accent6" w:themeShade="BF"/>
          <w:spacing w:val="0"/>
          <w:kern w:val="0"/>
          <w:sz w:val="32"/>
          <w:szCs w:val="32"/>
        </w:rPr>
        <w:t>Webinar Takeaways</w:t>
      </w:r>
    </w:p>
    <w:p w14:paraId="4E0D47E4" w14:textId="77777777" w:rsidR="00B27B67" w:rsidRDefault="00B27B67" w:rsidP="00B27B67"/>
    <w:p w14:paraId="6E8BE1A6" w14:textId="77777777" w:rsidR="006044E3" w:rsidRPr="00077854" w:rsidRDefault="0048083F" w:rsidP="006A325A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Food Insecurity and Malnutrition</w:t>
      </w:r>
    </w:p>
    <w:p w14:paraId="075C85C2" w14:textId="77777777" w:rsidR="00110DE6" w:rsidRPr="00077854" w:rsidRDefault="00B420CD" w:rsidP="006A325A">
      <w:pPr>
        <w:pStyle w:val="NoSpacing"/>
        <w:rPr>
          <w:rFonts w:ascii="Arial" w:hAnsi="Arial" w:cs="Arial"/>
        </w:rPr>
      </w:pPr>
      <w:r w:rsidRPr="00077854">
        <w:rPr>
          <w:rFonts w:ascii="Arial" w:hAnsi="Arial" w:cs="Arial"/>
        </w:rPr>
        <w:t xml:space="preserve">March </w:t>
      </w:r>
      <w:r w:rsidR="0048083F">
        <w:rPr>
          <w:rFonts w:ascii="Arial" w:hAnsi="Arial" w:cs="Arial"/>
        </w:rPr>
        <w:t>11</w:t>
      </w:r>
      <w:r w:rsidRPr="00077854">
        <w:rPr>
          <w:rFonts w:ascii="Arial" w:hAnsi="Arial" w:cs="Arial"/>
        </w:rPr>
        <w:t>, 2021</w:t>
      </w:r>
    </w:p>
    <w:p w14:paraId="03841F0C" w14:textId="77777777" w:rsidR="006044E3" w:rsidRPr="006044E3" w:rsidRDefault="005F7E0A" w:rsidP="006A325A">
      <w:pPr>
        <w:pStyle w:val="NoSpacing"/>
        <w:rPr>
          <w:rFonts w:ascii="Arial" w:hAnsi="Arial" w:cs="Arial"/>
        </w:rPr>
      </w:pPr>
      <w:hyperlink r:id="rId12" w:history="1">
        <w:r w:rsidR="006044E3" w:rsidRPr="006044E3">
          <w:rPr>
            <w:rStyle w:val="Hyperlink"/>
            <w:rFonts w:ascii="Arial" w:hAnsi="Arial" w:cs="Arial"/>
          </w:rPr>
          <w:t>Webinar recording and PowerPoint</w:t>
        </w:r>
      </w:hyperlink>
    </w:p>
    <w:p w14:paraId="7EA7D257" w14:textId="77777777" w:rsidR="009830EE" w:rsidRDefault="009830EE" w:rsidP="00B420CD">
      <w:pPr>
        <w:pStyle w:val="NoSpacing"/>
        <w:rPr>
          <w:rFonts w:ascii="Arial" w:hAnsi="Arial" w:cs="Arial"/>
        </w:rPr>
      </w:pPr>
    </w:p>
    <w:p w14:paraId="073D62A6" w14:textId="77777777" w:rsidR="00B420CD" w:rsidRPr="005E1E1F" w:rsidRDefault="00B420CD" w:rsidP="00B420CD">
      <w:pPr>
        <w:pStyle w:val="NoSpacing"/>
        <w:rPr>
          <w:rFonts w:ascii="Arial" w:hAnsi="Arial" w:cs="Arial"/>
          <w:sz w:val="20"/>
          <w:szCs w:val="20"/>
        </w:rPr>
      </w:pPr>
      <w:r w:rsidRPr="005E1E1F">
        <w:rPr>
          <w:rFonts w:ascii="Arial" w:hAnsi="Arial" w:cs="Arial"/>
          <w:sz w:val="20"/>
          <w:szCs w:val="20"/>
        </w:rPr>
        <w:t xml:space="preserve">This webinar </w:t>
      </w:r>
      <w:r w:rsidR="002F4CF8" w:rsidRPr="005E1E1F">
        <w:rPr>
          <w:rFonts w:ascii="Arial" w:hAnsi="Arial" w:cs="Arial"/>
          <w:sz w:val="20"/>
          <w:szCs w:val="20"/>
        </w:rPr>
        <w:t>wa</w:t>
      </w:r>
      <w:r w:rsidRPr="005E1E1F">
        <w:rPr>
          <w:rFonts w:ascii="Arial" w:hAnsi="Arial" w:cs="Arial"/>
          <w:sz w:val="20"/>
          <w:szCs w:val="20"/>
        </w:rPr>
        <w:t xml:space="preserve">s </w:t>
      </w:r>
      <w:r w:rsidR="00945EFB">
        <w:rPr>
          <w:rFonts w:ascii="Arial" w:hAnsi="Arial" w:cs="Arial"/>
          <w:sz w:val="20"/>
          <w:szCs w:val="20"/>
        </w:rPr>
        <w:t>the second</w:t>
      </w:r>
      <w:r w:rsidR="002206C4">
        <w:rPr>
          <w:rFonts w:ascii="Arial" w:hAnsi="Arial" w:cs="Arial"/>
          <w:sz w:val="20"/>
          <w:szCs w:val="20"/>
        </w:rPr>
        <w:t xml:space="preserve"> in series of four</w:t>
      </w:r>
      <w:r w:rsidRPr="005E1E1F">
        <w:rPr>
          <w:rFonts w:ascii="Arial" w:hAnsi="Arial" w:cs="Arial"/>
          <w:sz w:val="20"/>
          <w:szCs w:val="20"/>
        </w:rPr>
        <w:t xml:space="preserve"> </w:t>
      </w:r>
      <w:r w:rsidR="00D66F85" w:rsidRPr="005E1E1F">
        <w:rPr>
          <w:rFonts w:ascii="Arial" w:hAnsi="Arial" w:cs="Arial"/>
          <w:sz w:val="20"/>
          <w:szCs w:val="20"/>
        </w:rPr>
        <w:t>events</w:t>
      </w:r>
      <w:r w:rsidRPr="005E1E1F">
        <w:rPr>
          <w:rFonts w:ascii="Arial" w:hAnsi="Arial" w:cs="Arial"/>
          <w:sz w:val="20"/>
          <w:szCs w:val="20"/>
        </w:rPr>
        <w:t xml:space="preserve"> held </w:t>
      </w:r>
      <w:r w:rsidR="00110DE6" w:rsidRPr="005E1E1F">
        <w:rPr>
          <w:rFonts w:ascii="Arial" w:hAnsi="Arial" w:cs="Arial"/>
          <w:sz w:val="20"/>
          <w:szCs w:val="20"/>
        </w:rPr>
        <w:t>in</w:t>
      </w:r>
      <w:r w:rsidRPr="005E1E1F">
        <w:rPr>
          <w:rFonts w:ascii="Arial" w:hAnsi="Arial" w:cs="Arial"/>
          <w:sz w:val="20"/>
          <w:szCs w:val="20"/>
        </w:rPr>
        <w:t xml:space="preserve"> March to celebrate the anniversary of the National Senior Nutrition Program, which began in 1972.</w:t>
      </w:r>
    </w:p>
    <w:p w14:paraId="58FE2457" w14:textId="77777777" w:rsidR="00C04026" w:rsidRDefault="00B420CD" w:rsidP="0031178B">
      <w:pPr>
        <w:pStyle w:val="Heading1"/>
      </w:pPr>
      <w:r>
        <w:t>Learning Objectives</w:t>
      </w:r>
    </w:p>
    <w:p w14:paraId="28C4F3A0" w14:textId="77777777" w:rsidR="00EA409B" w:rsidRPr="00EA409B" w:rsidRDefault="00EA409B" w:rsidP="00EA409B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A409B">
        <w:rPr>
          <w:rFonts w:ascii="Arial" w:hAnsi="Arial" w:cs="Arial"/>
          <w:sz w:val="20"/>
          <w:szCs w:val="20"/>
        </w:rPr>
        <w:t>Distinguish between nutrition and food insecurity.</w:t>
      </w:r>
    </w:p>
    <w:p w14:paraId="26C308AF" w14:textId="77777777" w:rsidR="004A2E0E" w:rsidRDefault="00EA409B" w:rsidP="00EA409B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A409B">
        <w:rPr>
          <w:rFonts w:ascii="Arial" w:hAnsi="Arial" w:cs="Arial"/>
          <w:sz w:val="20"/>
          <w:szCs w:val="20"/>
        </w:rPr>
        <w:t>Identify the root causes of malnutrition</w:t>
      </w:r>
      <w:r w:rsidR="004A2E0E">
        <w:rPr>
          <w:rFonts w:ascii="Arial" w:hAnsi="Arial" w:cs="Arial"/>
          <w:sz w:val="20"/>
          <w:szCs w:val="20"/>
        </w:rPr>
        <w:t>.</w:t>
      </w:r>
    </w:p>
    <w:p w14:paraId="2330E6F6" w14:textId="77777777" w:rsidR="00EA409B" w:rsidRPr="00EA409B" w:rsidRDefault="004A2E0E" w:rsidP="00EA409B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EA409B" w:rsidRPr="00EA409B">
        <w:rPr>
          <w:rFonts w:ascii="Arial" w:hAnsi="Arial" w:cs="Arial"/>
          <w:sz w:val="20"/>
          <w:szCs w:val="20"/>
        </w:rPr>
        <w:t>resent innovative approaches to combatting malnutrition.</w:t>
      </w:r>
    </w:p>
    <w:p w14:paraId="2619267D" w14:textId="77777777" w:rsidR="00EA409B" w:rsidRDefault="00EA409B" w:rsidP="00EA409B">
      <w:pPr>
        <w:pStyle w:val="NoSpacing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EA409B">
        <w:rPr>
          <w:rFonts w:ascii="Arial" w:hAnsi="Arial" w:cs="Arial"/>
          <w:sz w:val="20"/>
          <w:szCs w:val="20"/>
        </w:rPr>
        <w:t>Discuss the importance of partnerships and lessons learned.</w:t>
      </w:r>
    </w:p>
    <w:p w14:paraId="2DE648F3" w14:textId="77777777" w:rsidR="00A26FAA" w:rsidRPr="005E1E1F" w:rsidRDefault="00A26FAA" w:rsidP="00A26FAA">
      <w:pPr>
        <w:pStyle w:val="NoSpacing"/>
        <w:rPr>
          <w:rFonts w:ascii="Arial" w:hAnsi="Arial" w:cs="Arial"/>
          <w:sz w:val="20"/>
          <w:szCs w:val="20"/>
        </w:rPr>
      </w:pPr>
      <w:bookmarkStart w:id="0" w:name="_Hlk67043730"/>
    </w:p>
    <w:p w14:paraId="76896D50" w14:textId="3AB7ABDE" w:rsidR="0076610D" w:rsidRDefault="0076610D" w:rsidP="0076610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webinar beg</w:t>
      </w:r>
      <w:r w:rsidR="004A2E0E"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z w:val="20"/>
          <w:szCs w:val="20"/>
        </w:rPr>
        <w:t xml:space="preserve"> with an overview of the Older Americans Act</w:t>
      </w:r>
      <w:r w:rsidR="005F3415">
        <w:rPr>
          <w:rFonts w:ascii="Arial" w:hAnsi="Arial" w:cs="Arial"/>
          <w:sz w:val="20"/>
          <w:szCs w:val="20"/>
        </w:rPr>
        <w:t xml:space="preserve"> (OAA)</w:t>
      </w:r>
      <w:r>
        <w:rPr>
          <w:rFonts w:ascii="Arial" w:hAnsi="Arial" w:cs="Arial"/>
          <w:sz w:val="20"/>
          <w:szCs w:val="20"/>
        </w:rPr>
        <w:t xml:space="preserve"> and the 2020 reauthorization, which was expanded to include malnutrition; explains the difference between food insecurity and malnutrition</w:t>
      </w:r>
      <w:r w:rsidR="008179B5">
        <w:rPr>
          <w:rFonts w:ascii="Arial" w:hAnsi="Arial" w:cs="Arial"/>
          <w:sz w:val="20"/>
          <w:szCs w:val="20"/>
        </w:rPr>
        <w:t>, and</w:t>
      </w:r>
      <w:r>
        <w:rPr>
          <w:rFonts w:ascii="Arial" w:hAnsi="Arial" w:cs="Arial"/>
          <w:sz w:val="20"/>
          <w:szCs w:val="20"/>
        </w:rPr>
        <w:t xml:space="preserve"> highlights two successful local programs and what they are doing to combat food insecurity and malnutrition.</w:t>
      </w:r>
      <w:r w:rsidR="0060256D">
        <w:rPr>
          <w:rFonts w:ascii="Arial" w:hAnsi="Arial" w:cs="Arial"/>
          <w:sz w:val="20"/>
          <w:szCs w:val="20"/>
        </w:rPr>
        <w:t xml:space="preserve"> Then, speakers from different programs shared related insights and experiences.</w:t>
      </w:r>
    </w:p>
    <w:p w14:paraId="11338A81" w14:textId="77777777" w:rsidR="00643DE7" w:rsidRDefault="00891B98" w:rsidP="0031178B">
      <w:pPr>
        <w:pStyle w:val="Heading1"/>
      </w:pPr>
      <w:r>
        <w:t>Overview</w:t>
      </w:r>
    </w:p>
    <w:p w14:paraId="015534D5" w14:textId="77777777" w:rsidR="00891B98" w:rsidRDefault="00891B98" w:rsidP="00891B98">
      <w:pPr>
        <w:rPr>
          <w:rStyle w:val="SubtleEmphasis"/>
        </w:rPr>
      </w:pPr>
      <w:r w:rsidRPr="0031178B">
        <w:rPr>
          <w:rStyle w:val="SubtleEmphasis"/>
        </w:rPr>
        <w:t>Judy Simon, MS, RD, LDN, National Nutritionist</w:t>
      </w:r>
      <w:r>
        <w:rPr>
          <w:rStyle w:val="SubtleEmphasis"/>
        </w:rPr>
        <w:t>, ACL</w:t>
      </w:r>
    </w:p>
    <w:bookmarkEnd w:id="0"/>
    <w:p w14:paraId="3CD88B2C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Malnutrition was added to the 2020 reauthorization of the OAA</w:t>
      </w:r>
      <w:r w:rsidR="00DF6BFD">
        <w:rPr>
          <w:rFonts w:ascii="Arial" w:hAnsi="Arial" w:cs="Arial"/>
          <w:sz w:val="20"/>
          <w:szCs w:val="20"/>
        </w:rPr>
        <w:t>.</w:t>
      </w:r>
    </w:p>
    <w:p w14:paraId="5A5FEEE0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Intent of the Older Americans Act:</w:t>
      </w:r>
    </w:p>
    <w:p w14:paraId="2D5BEF27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 xml:space="preserve">Reduce hunger, food insecurity, and malnutrition. </w:t>
      </w:r>
    </w:p>
    <w:p w14:paraId="3AF27499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Promote socialization.</w:t>
      </w:r>
    </w:p>
    <w:p w14:paraId="026FEBBA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Promote health and well-being.</w:t>
      </w:r>
    </w:p>
    <w:p w14:paraId="1AB2DF64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The difference between malnutrition and food insecurity</w:t>
      </w:r>
    </w:p>
    <w:p w14:paraId="5B30C83C" w14:textId="77777777" w:rsidR="007B4BEA" w:rsidRPr="007B4BEA" w:rsidRDefault="007B4BEA" w:rsidP="00141B8C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Malnutrition: When two or more of the following occur ― weight loss, insufficient food intake, reduced body fat, reduced muscle, reduced handgrip, and/or fluid.</w:t>
      </w:r>
    </w:p>
    <w:p w14:paraId="797E8C85" w14:textId="77777777" w:rsidR="007B4BEA" w:rsidRPr="007B4BEA" w:rsidRDefault="007B4BEA" w:rsidP="00141B8C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Food Insecurity: When an individual does not have reliable access to enough affordable, culturally appropriate, and nutritious food.</w:t>
      </w:r>
    </w:p>
    <w:p w14:paraId="06E1CBA5" w14:textId="4EC51686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 xml:space="preserve">Anyone can screen for malnutrition and food insecurity to </w:t>
      </w:r>
      <w:r w:rsidR="005E4F59">
        <w:rPr>
          <w:rFonts w:ascii="Arial" w:hAnsi="Arial" w:cs="Arial"/>
          <w:sz w:val="20"/>
          <w:szCs w:val="20"/>
        </w:rPr>
        <w:t>determine</w:t>
      </w:r>
      <w:r w:rsidRPr="007B4BEA">
        <w:rPr>
          <w:rFonts w:ascii="Arial" w:hAnsi="Arial" w:cs="Arial"/>
          <w:sz w:val="20"/>
          <w:szCs w:val="20"/>
        </w:rPr>
        <w:t xml:space="preserve"> whether </w:t>
      </w:r>
      <w:r w:rsidR="00141B8C">
        <w:rPr>
          <w:rFonts w:ascii="Arial" w:hAnsi="Arial" w:cs="Arial"/>
          <w:sz w:val="20"/>
          <w:szCs w:val="20"/>
        </w:rPr>
        <w:t>someone</w:t>
      </w:r>
      <w:r w:rsidRPr="007B4BEA">
        <w:rPr>
          <w:rFonts w:ascii="Arial" w:hAnsi="Arial" w:cs="Arial"/>
          <w:sz w:val="20"/>
          <w:szCs w:val="20"/>
        </w:rPr>
        <w:t xml:space="preserve"> is at risk.</w:t>
      </w:r>
    </w:p>
    <w:p w14:paraId="1F4E4033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Malnutrition is more common than we realize and often goes undetected.</w:t>
      </w:r>
    </w:p>
    <w:p w14:paraId="1801B467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Role of the Aging Network:</w:t>
      </w:r>
    </w:p>
    <w:p w14:paraId="14729F06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Falls within OAA’s mission.</w:t>
      </w:r>
    </w:p>
    <w:p w14:paraId="0C4B6739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We know our participants.</w:t>
      </w:r>
    </w:p>
    <w:p w14:paraId="43C3B878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Unaddressed malnutrition causes great risk.</w:t>
      </w:r>
    </w:p>
    <w:p w14:paraId="4688A75D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Our strength is social determinants of health.</w:t>
      </w:r>
    </w:p>
    <w:p w14:paraId="0389777A" w14:textId="77777777" w:rsidR="007B4BEA" w:rsidRPr="007B4BEA" w:rsidRDefault="007B4BEA" w:rsidP="007B4BE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The combination of healthcare and partnerships with community-based organizations can help older adults, e.g., partnerships that focus on transitions of care and prevention.</w:t>
      </w:r>
    </w:p>
    <w:p w14:paraId="4BB92AE2" w14:textId="0EFB0FFD" w:rsidR="005E4F59" w:rsidRDefault="005E4F59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Community Malnutrition Care Pathway</w:t>
      </w:r>
      <w:r w:rsidR="005F7E0A">
        <w:rPr>
          <w:rFonts w:ascii="Arial" w:hAnsi="Arial" w:cs="Arial"/>
          <w:sz w:val="20"/>
          <w:szCs w:val="20"/>
        </w:rPr>
        <w:t>:</w:t>
      </w:r>
    </w:p>
    <w:p w14:paraId="19AEF659" w14:textId="77777777" w:rsidR="005E4F59" w:rsidRDefault="005E4F59" w:rsidP="005E4F5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Implement Validated Screening Tools</w:t>
      </w:r>
    </w:p>
    <w:p w14:paraId="682D6A6E" w14:textId="77777777" w:rsidR="005E4F59" w:rsidRDefault="005E4F59" w:rsidP="005E4F59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Root Cause(s)</w:t>
      </w:r>
    </w:p>
    <w:p w14:paraId="3158DD59" w14:textId="77777777" w:rsidR="005E4F59" w:rsidRDefault="005E4F59" w:rsidP="005F7E0A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Monitor Client Progress </w:t>
      </w:r>
      <w:r w:rsidR="008179B5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Quality of Services</w:t>
      </w:r>
    </w:p>
    <w:p w14:paraId="39305B93" w14:textId="77777777" w:rsidR="007B4BEA" w:rsidRPr="007B4BEA" w:rsidRDefault="007B4BEA" w:rsidP="005E4F59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 xml:space="preserve">Maryland Department of Aging has a toolkit to address malnutrition. </w:t>
      </w:r>
    </w:p>
    <w:p w14:paraId="0F35F1BE" w14:textId="4EADCFBF" w:rsidR="007B4BEA" w:rsidRPr="007B4BEA" w:rsidRDefault="00214DF0" w:rsidP="00613A68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hyperlink r:id="rId13" w:history="1">
        <w:r w:rsidR="008179B5">
          <w:rPr>
            <w:rStyle w:val="Hyperlink"/>
            <w:rFonts w:ascii="Arial" w:hAnsi="Arial" w:cs="Arial"/>
            <w:sz w:val="20"/>
            <w:szCs w:val="20"/>
          </w:rPr>
          <w:t>The toolkit</w:t>
        </w:r>
        <w:r w:rsidR="007B4BEA" w:rsidRPr="00613A68">
          <w:rPr>
            <w:rStyle w:val="Hyperlink"/>
            <w:rFonts w:ascii="Arial" w:hAnsi="Arial" w:cs="Arial"/>
            <w:sz w:val="20"/>
            <w:szCs w:val="20"/>
          </w:rPr>
          <w:t xml:space="preserve"> is available online</w:t>
        </w:r>
      </w:hyperlink>
      <w:r w:rsidR="007B4BEA">
        <w:rPr>
          <w:rFonts w:ascii="Arial" w:hAnsi="Arial" w:cs="Arial"/>
          <w:sz w:val="20"/>
          <w:szCs w:val="20"/>
        </w:rPr>
        <w:t xml:space="preserve"> and can be customized.</w:t>
      </w:r>
    </w:p>
    <w:p w14:paraId="2387C99C" w14:textId="77777777" w:rsidR="007B4BEA" w:rsidRP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lastRenderedPageBreak/>
        <w:t>Chart</w:t>
      </w:r>
      <w:r w:rsidR="00613A68">
        <w:rPr>
          <w:rFonts w:ascii="Arial" w:hAnsi="Arial" w:cs="Arial"/>
          <w:sz w:val="20"/>
          <w:szCs w:val="20"/>
        </w:rPr>
        <w:t xml:space="preserve"> (slide 10)</w:t>
      </w:r>
      <w:r w:rsidRPr="007B4BEA">
        <w:rPr>
          <w:rFonts w:ascii="Arial" w:hAnsi="Arial" w:cs="Arial"/>
          <w:sz w:val="20"/>
          <w:szCs w:val="20"/>
        </w:rPr>
        <w:t>: Outlines the “whole team” approach.</w:t>
      </w:r>
    </w:p>
    <w:p w14:paraId="2B4E395E" w14:textId="77777777" w:rsidR="007B4BEA" w:rsidRDefault="007B4BEA" w:rsidP="007B4BE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7B4BEA">
        <w:rPr>
          <w:rFonts w:ascii="Arial" w:hAnsi="Arial" w:cs="Arial"/>
          <w:sz w:val="20"/>
          <w:szCs w:val="20"/>
        </w:rPr>
        <w:t>Chart</w:t>
      </w:r>
      <w:r w:rsidR="00613A68">
        <w:rPr>
          <w:rFonts w:ascii="Arial" w:hAnsi="Arial" w:cs="Arial"/>
          <w:sz w:val="20"/>
          <w:szCs w:val="20"/>
        </w:rPr>
        <w:t xml:space="preserve"> (slide 11)</w:t>
      </w:r>
      <w:r w:rsidRPr="007B4BEA">
        <w:rPr>
          <w:rFonts w:ascii="Arial" w:hAnsi="Arial" w:cs="Arial"/>
          <w:sz w:val="20"/>
          <w:szCs w:val="20"/>
        </w:rPr>
        <w:t>: Depicts medical billing model for the social determinants of health ICD-10 codes.</w:t>
      </w:r>
    </w:p>
    <w:p w14:paraId="72FBA0DD" w14:textId="77777777" w:rsidR="00A26FAA" w:rsidRDefault="0060256D" w:rsidP="0031178B">
      <w:pPr>
        <w:pStyle w:val="Heading1"/>
      </w:pPr>
      <w:r>
        <w:t xml:space="preserve">Speaker </w:t>
      </w:r>
      <w:r w:rsidR="00141B8C">
        <w:t>#1</w:t>
      </w:r>
    </w:p>
    <w:p w14:paraId="3A5736B2" w14:textId="77777777" w:rsidR="00B43081" w:rsidRDefault="00F25C38" w:rsidP="0031178B">
      <w:pPr>
        <w:rPr>
          <w:rStyle w:val="SubtleEmphasis"/>
        </w:rPr>
      </w:pPr>
      <w:r w:rsidRPr="00F25C38">
        <w:rPr>
          <w:rStyle w:val="SubtleEmphasis"/>
        </w:rPr>
        <w:t xml:space="preserve">Pam VanKampen, RDN, DC, Older Americans Act Consultant &amp; Nutrition Specialist and Senior Center Representative for the Greater Wisconsin Agency on Aging Resources </w:t>
      </w:r>
      <w:r>
        <w:rPr>
          <w:rStyle w:val="SubtleEmphasis"/>
        </w:rPr>
        <w:t>(</w:t>
      </w:r>
      <w:hyperlink r:id="rId14" w:history="1">
        <w:r w:rsidRPr="004918EF">
          <w:rPr>
            <w:rStyle w:val="Hyperlink"/>
            <w:rFonts w:ascii="Arial" w:hAnsi="Arial" w:cs="Arial"/>
          </w:rPr>
          <w:t>GWAAR</w:t>
        </w:r>
      </w:hyperlink>
      <w:r>
        <w:rPr>
          <w:rStyle w:val="SubtleEmphasis"/>
        </w:rPr>
        <w:t>)</w:t>
      </w:r>
    </w:p>
    <w:p w14:paraId="3EDA209B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Malnutrition is:</w:t>
      </w:r>
    </w:p>
    <w:p w14:paraId="5121C142" w14:textId="77777777" w:rsidR="00DD74A8" w:rsidRPr="00DD74A8" w:rsidRDefault="00DD74A8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A nutrition imbalance, including under-nutrition and over-nutrition.</w:t>
      </w:r>
    </w:p>
    <w:p w14:paraId="16FFF0D9" w14:textId="77777777" w:rsidR="00DD74A8" w:rsidRPr="00DD74A8" w:rsidRDefault="00DD74A8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A leading cause of morbidity and mortality among older adults.</w:t>
      </w:r>
    </w:p>
    <w:p w14:paraId="73C76F93" w14:textId="77777777" w:rsidR="00DD74A8" w:rsidRPr="00DD74A8" w:rsidRDefault="00DD74A8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 xml:space="preserve">An issue </w:t>
      </w:r>
      <w:r w:rsidRPr="00DD74A8">
        <w:rPr>
          <w:rFonts w:ascii="Arial" w:hAnsi="Arial" w:cs="Arial"/>
          <w:sz w:val="20"/>
          <w:szCs w:val="20"/>
        </w:rPr>
        <w:t>that affects older adults across all population groups.</w:t>
      </w:r>
    </w:p>
    <w:p w14:paraId="451043D4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Malnutrition is considered taboo; no one wants to admit to being malnourished.</w:t>
      </w:r>
    </w:p>
    <w:p w14:paraId="1C06E55F" w14:textId="77777777" w:rsidR="00C94540" w:rsidRPr="00DD74A8" w:rsidRDefault="00C94540" w:rsidP="00C94540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 xml:space="preserve">Malnutrition is a critical health and public safety issue, according to </w:t>
      </w:r>
      <w:hyperlink r:id="rId15" w:history="1">
        <w:r w:rsidRPr="00211A10">
          <w:rPr>
            <w:rStyle w:val="Hyperlink"/>
            <w:rFonts w:ascii="Arial" w:hAnsi="Arial" w:cs="Arial"/>
            <w:sz w:val="20"/>
            <w:szCs w:val="20"/>
          </w:rPr>
          <w:t>Defeat Malnutrition Today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4F9A40AE" w14:textId="77777777" w:rsidR="00DD74A8" w:rsidRPr="00DD74A8" w:rsidRDefault="00DD74A8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 xml:space="preserve">1 in 2 older adults is malnourished or at risk. (Additional stats on </w:t>
      </w:r>
      <w:r w:rsidR="006F363F">
        <w:rPr>
          <w:rFonts w:ascii="Arial" w:hAnsi="Arial" w:cs="Arial"/>
          <w:sz w:val="20"/>
          <w:szCs w:val="20"/>
        </w:rPr>
        <w:t>s</w:t>
      </w:r>
      <w:r w:rsidRPr="00DD74A8">
        <w:rPr>
          <w:rFonts w:ascii="Arial" w:hAnsi="Arial" w:cs="Arial"/>
          <w:sz w:val="20"/>
          <w:szCs w:val="20"/>
        </w:rPr>
        <w:t>lide 16)</w:t>
      </w:r>
    </w:p>
    <w:p w14:paraId="6BB044E0" w14:textId="77777777" w:rsidR="00DD74A8" w:rsidRPr="00DD74A8" w:rsidRDefault="00DD74A8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Chart</w:t>
      </w:r>
      <w:r w:rsidR="006F363F">
        <w:rPr>
          <w:rFonts w:ascii="Arial" w:hAnsi="Arial" w:cs="Arial"/>
          <w:sz w:val="20"/>
          <w:szCs w:val="20"/>
        </w:rPr>
        <w:t xml:space="preserve"> (slide 17)</w:t>
      </w:r>
      <w:r w:rsidRPr="00DD74A8">
        <w:rPr>
          <w:rFonts w:ascii="Arial" w:hAnsi="Arial" w:cs="Arial"/>
          <w:sz w:val="20"/>
          <w:szCs w:val="20"/>
        </w:rPr>
        <w:t>: shows the economic burden of malnutrition in older adults by state.</w:t>
      </w:r>
    </w:p>
    <w:p w14:paraId="644F3444" w14:textId="7D07BCEE" w:rsidR="00DD74A8" w:rsidRPr="00DD74A8" w:rsidRDefault="008179B5" w:rsidP="006F363F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website</w:t>
      </w:r>
      <w:r w:rsidR="00DD74A8" w:rsidRPr="00DD74A8">
        <w:rPr>
          <w:rFonts w:ascii="Arial" w:hAnsi="Arial" w:cs="Arial"/>
          <w:sz w:val="20"/>
          <w:szCs w:val="20"/>
        </w:rPr>
        <w:t xml:space="preserve"> features stories of malnutrition. </w:t>
      </w:r>
    </w:p>
    <w:p w14:paraId="4D950E50" w14:textId="77777777" w:rsidR="00DD74A8" w:rsidRPr="00EB48F9" w:rsidRDefault="00DD74A8" w:rsidP="007A6291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EB48F9">
        <w:rPr>
          <w:rFonts w:ascii="Arial" w:hAnsi="Arial" w:cs="Arial"/>
          <w:sz w:val="20"/>
          <w:szCs w:val="20"/>
        </w:rPr>
        <w:t xml:space="preserve">There are many root causes of malnutrition, which are easy to overlook; </w:t>
      </w:r>
      <w:r w:rsidR="008179B5">
        <w:rPr>
          <w:rFonts w:ascii="Arial" w:hAnsi="Arial" w:cs="Arial"/>
          <w:sz w:val="20"/>
          <w:szCs w:val="20"/>
        </w:rPr>
        <w:t xml:space="preserve">we </w:t>
      </w:r>
      <w:r w:rsidRPr="00EB48F9">
        <w:rPr>
          <w:rFonts w:ascii="Arial" w:hAnsi="Arial" w:cs="Arial"/>
          <w:sz w:val="20"/>
          <w:szCs w:val="20"/>
        </w:rPr>
        <w:t>need to dig deeper to uncover the cause.</w:t>
      </w:r>
      <w:r w:rsidR="00EB48F9" w:rsidRPr="00EB48F9">
        <w:rPr>
          <w:rFonts w:ascii="Arial" w:hAnsi="Arial" w:cs="Arial"/>
          <w:sz w:val="20"/>
          <w:szCs w:val="20"/>
        </w:rPr>
        <w:t xml:space="preserve"> </w:t>
      </w:r>
      <w:r w:rsidRPr="00EB48F9">
        <w:rPr>
          <w:rFonts w:ascii="Arial" w:hAnsi="Arial" w:cs="Arial"/>
          <w:sz w:val="20"/>
          <w:szCs w:val="20"/>
        </w:rPr>
        <w:t>The acronym “MALNOURISHED” identifies potential root causes</w:t>
      </w:r>
      <w:r w:rsidR="00F015B7" w:rsidRPr="00EB48F9">
        <w:rPr>
          <w:rFonts w:ascii="Arial" w:hAnsi="Arial" w:cs="Arial"/>
          <w:sz w:val="20"/>
          <w:szCs w:val="20"/>
        </w:rPr>
        <w:t>:</w:t>
      </w:r>
    </w:p>
    <w:p w14:paraId="6A52E555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Medications/Polypharmacy. Memory issues/dementia</w:t>
      </w:r>
    </w:p>
    <w:p w14:paraId="0934D8A8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Access to food, meal prep/transportation. Appetite (small)</w:t>
      </w:r>
    </w:p>
    <w:p w14:paraId="4B68524A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Loss of lean body mass/muscle weakness. Limited income. Lives alone</w:t>
      </w:r>
    </w:p>
    <w:p w14:paraId="7C29AFA1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Nutrient poor intake/absorption</w:t>
      </w:r>
    </w:p>
    <w:p w14:paraId="6643B004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Oral health concerns (chewing, swallowing, teeth, dentures)</w:t>
      </w:r>
    </w:p>
    <w:p w14:paraId="4DC48575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Unintentional weight loss</w:t>
      </w:r>
    </w:p>
    <w:p w14:paraId="0740CAF3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Restricted diet</w:t>
      </w:r>
    </w:p>
    <w:p w14:paraId="5BB67FE7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Illness with infection/inflammation</w:t>
      </w:r>
    </w:p>
    <w:p w14:paraId="0355A088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Sensory changes (taste, vision, smell). Sensitivity to foods (GI issues). Smoking</w:t>
      </w:r>
    </w:p>
    <w:p w14:paraId="06FC2C32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Hospitalization, health conditions (acute and chronic)</w:t>
      </w:r>
    </w:p>
    <w:p w14:paraId="133822C7" w14:textId="77777777" w:rsidR="00F015B7" w:rsidRPr="00F015B7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Exhausted. Eating disorder. Emotional health/grief</w:t>
      </w:r>
    </w:p>
    <w:p w14:paraId="6B9AF100" w14:textId="77777777" w:rsidR="00CD6EBE" w:rsidRPr="00DD74A8" w:rsidRDefault="00F015B7" w:rsidP="00F015B7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F015B7">
        <w:rPr>
          <w:rFonts w:ascii="Arial" w:hAnsi="Arial" w:cs="Arial"/>
          <w:sz w:val="20"/>
          <w:szCs w:val="20"/>
        </w:rPr>
        <w:t>Depression, dehydration, drug/alcohol dependence</w:t>
      </w:r>
    </w:p>
    <w:p w14:paraId="321C7C7F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 xml:space="preserve">Community-based organizations </w:t>
      </w:r>
      <w:r w:rsidR="008F053B">
        <w:rPr>
          <w:rFonts w:ascii="Arial" w:hAnsi="Arial" w:cs="Arial"/>
          <w:sz w:val="20"/>
          <w:szCs w:val="20"/>
        </w:rPr>
        <w:t>can</w:t>
      </w:r>
      <w:r w:rsidRPr="00DD74A8">
        <w:rPr>
          <w:rFonts w:ascii="Arial" w:hAnsi="Arial" w:cs="Arial"/>
          <w:sz w:val="20"/>
          <w:szCs w:val="20"/>
        </w:rPr>
        <w:t xml:space="preserve"> spot issues; “we are the eyes and ears out there.”</w:t>
      </w:r>
    </w:p>
    <w:p w14:paraId="09E0D268" w14:textId="77777777" w:rsidR="00BD373D" w:rsidRDefault="00BD373D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root causes of malnutrition are often overlooked (e.g., medications, memory issues).</w:t>
      </w:r>
    </w:p>
    <w:p w14:paraId="10F49116" w14:textId="77777777" w:rsidR="00BD373D" w:rsidRDefault="008179B5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enhanced</w:t>
      </w:r>
      <w:r w:rsidR="00BD373D">
        <w:rPr>
          <w:rFonts w:ascii="Arial" w:hAnsi="Arial" w:cs="Arial"/>
          <w:sz w:val="20"/>
          <w:szCs w:val="20"/>
        </w:rPr>
        <w:t xml:space="preserve"> DETERMINE checklist </w:t>
      </w:r>
      <w:r>
        <w:rPr>
          <w:rFonts w:ascii="Arial" w:hAnsi="Arial" w:cs="Arial"/>
          <w:sz w:val="20"/>
          <w:szCs w:val="20"/>
        </w:rPr>
        <w:t>helps home-delivered meal assessors identify the</w:t>
      </w:r>
      <w:r w:rsidR="00BD373D">
        <w:rPr>
          <w:rFonts w:ascii="Arial" w:hAnsi="Arial" w:cs="Arial"/>
          <w:sz w:val="20"/>
          <w:szCs w:val="20"/>
        </w:rPr>
        <w:t xml:space="preserve"> root causes of malnutrition and </w:t>
      </w:r>
      <w:r>
        <w:rPr>
          <w:rFonts w:ascii="Arial" w:hAnsi="Arial" w:cs="Arial"/>
          <w:sz w:val="20"/>
          <w:szCs w:val="20"/>
        </w:rPr>
        <w:t>develop</w:t>
      </w:r>
      <w:r w:rsidR="00BD373D">
        <w:rPr>
          <w:rFonts w:ascii="Arial" w:hAnsi="Arial" w:cs="Arial"/>
          <w:sz w:val="20"/>
          <w:szCs w:val="20"/>
        </w:rPr>
        <w:t xml:space="preserve"> a person-centered Nutrition Plan of Care to diminish risk.</w:t>
      </w:r>
    </w:p>
    <w:p w14:paraId="60D7E6DD" w14:textId="77777777" w:rsidR="00DD74A8" w:rsidRPr="00DD74A8" w:rsidRDefault="00C94540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D74A8" w:rsidRPr="00DD74A8">
        <w:rPr>
          <w:rFonts w:ascii="Arial" w:hAnsi="Arial" w:cs="Arial"/>
          <w:sz w:val="20"/>
          <w:szCs w:val="20"/>
        </w:rPr>
        <w:t xml:space="preserve">eframe conversation </w:t>
      </w:r>
      <w:r>
        <w:rPr>
          <w:rFonts w:ascii="Arial" w:hAnsi="Arial" w:cs="Arial"/>
          <w:sz w:val="20"/>
          <w:szCs w:val="20"/>
        </w:rPr>
        <w:t xml:space="preserve">on </w:t>
      </w:r>
      <w:r w:rsidR="00DD74A8" w:rsidRPr="00DD74A8">
        <w:rPr>
          <w:rFonts w:ascii="Arial" w:hAnsi="Arial" w:cs="Arial"/>
          <w:sz w:val="20"/>
          <w:szCs w:val="20"/>
        </w:rPr>
        <w:t>malnutrition to go beyond food</w:t>
      </w:r>
      <w:r>
        <w:rPr>
          <w:rFonts w:ascii="Arial" w:hAnsi="Arial" w:cs="Arial"/>
          <w:sz w:val="20"/>
          <w:szCs w:val="20"/>
        </w:rPr>
        <w:t xml:space="preserve"> and </w:t>
      </w:r>
      <w:r w:rsidR="00DD74A8" w:rsidRPr="00DD74A8">
        <w:rPr>
          <w:rFonts w:ascii="Arial" w:hAnsi="Arial" w:cs="Arial"/>
          <w:sz w:val="20"/>
          <w:szCs w:val="20"/>
        </w:rPr>
        <w:t>focus on the whole person.</w:t>
      </w:r>
    </w:p>
    <w:p w14:paraId="55C09602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 xml:space="preserve">Important to use a validated screening tool; the NCOA website reviews several screening tools. </w:t>
      </w:r>
    </w:p>
    <w:p w14:paraId="5847AFE1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Malnutrition Awareness Week is Oct. 4-8, 2021.</w:t>
      </w:r>
    </w:p>
    <w:p w14:paraId="51332CD2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Maryland Department of Aging &amp; Maintaining Active Citizens has a 2.5-hour interactive community-based workshop, “Stepping Up Your Nutrition,” that focuses on how nutrition affects falls risk; www.steppingupnutrition.com.</w:t>
      </w:r>
    </w:p>
    <w:p w14:paraId="334B4536" w14:textId="77777777" w:rsidR="00DD74A8" w:rsidRPr="00A151F4" w:rsidRDefault="00DD74A8" w:rsidP="00A151F4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GWAAR has created a variety of fun and educational materials, such as nutrition risk jeopardy, recipes, and cooking demonstration videos.</w:t>
      </w:r>
    </w:p>
    <w:p w14:paraId="69AB090C" w14:textId="77777777" w:rsidR="00DD74A8" w:rsidRPr="00DD74A8" w:rsidRDefault="00DD74A8" w:rsidP="00DD74A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In summary, malnutrition has many faces and many stories:</w:t>
      </w:r>
    </w:p>
    <w:p w14:paraId="618708CB" w14:textId="77777777" w:rsidR="00DD74A8" w:rsidRPr="00DD74A8" w:rsidRDefault="00DD74A8" w:rsidP="00A151F4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See the whole person; the root causes/unspoken needs and barriers.</w:t>
      </w:r>
    </w:p>
    <w:p w14:paraId="1469421E" w14:textId="77777777" w:rsidR="00DD74A8" w:rsidRPr="00DD74A8" w:rsidRDefault="00DD74A8" w:rsidP="00A151F4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Reframe the conversation: think NOURISH.</w:t>
      </w:r>
    </w:p>
    <w:p w14:paraId="251A41BB" w14:textId="77777777" w:rsidR="00EB48F9" w:rsidRPr="00C94540" w:rsidRDefault="00DD74A8" w:rsidP="00C94540">
      <w:pPr>
        <w:pStyle w:val="ListParagraph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DD74A8">
        <w:rPr>
          <w:rFonts w:ascii="Arial" w:hAnsi="Arial" w:cs="Arial"/>
          <w:sz w:val="20"/>
          <w:szCs w:val="20"/>
        </w:rPr>
        <w:t>Malnutrition is not just about food; we must screen, access, educate, and intervene.</w:t>
      </w:r>
    </w:p>
    <w:p w14:paraId="7B586BB0" w14:textId="77777777" w:rsidR="00BD373D" w:rsidRDefault="00BD373D" w:rsidP="0031178B">
      <w:pPr>
        <w:pStyle w:val="Heading1"/>
      </w:pPr>
    </w:p>
    <w:p w14:paraId="0A282717" w14:textId="77777777" w:rsidR="00BD373D" w:rsidRDefault="00BD373D" w:rsidP="0031178B">
      <w:pPr>
        <w:pStyle w:val="Heading1"/>
      </w:pPr>
    </w:p>
    <w:p w14:paraId="4170636A" w14:textId="77777777" w:rsidR="0031178B" w:rsidRDefault="0060256D" w:rsidP="0031178B">
      <w:pPr>
        <w:pStyle w:val="Heading1"/>
      </w:pPr>
      <w:r>
        <w:t>Speaker</w:t>
      </w:r>
      <w:r w:rsidR="0031178B">
        <w:t xml:space="preserve"> #2</w:t>
      </w:r>
    </w:p>
    <w:p w14:paraId="0FA2ACFB" w14:textId="77777777" w:rsidR="00B420CD" w:rsidRPr="0031178B" w:rsidRDefault="005D4F50" w:rsidP="0031178B">
      <w:pPr>
        <w:rPr>
          <w:rStyle w:val="SubtleEmphasis"/>
        </w:rPr>
      </w:pPr>
      <w:r w:rsidRPr="005D4F50">
        <w:rPr>
          <w:rStyle w:val="SubtleEmphasis"/>
        </w:rPr>
        <w:t xml:space="preserve">Paul Hepfer, CEO of </w:t>
      </w:r>
      <w:hyperlink r:id="rId16" w:history="1">
        <w:r w:rsidRPr="0017646A">
          <w:rPr>
            <w:rStyle w:val="Hyperlink"/>
            <w:rFonts w:ascii="Arial" w:hAnsi="Arial" w:cs="Arial"/>
            <w:i/>
            <w:iCs/>
          </w:rPr>
          <w:t>Project Open Hand</w:t>
        </w:r>
      </w:hyperlink>
      <w:r w:rsidRPr="0017646A">
        <w:rPr>
          <w:rStyle w:val="SubtleEmphasis"/>
          <w:i w:val="0"/>
          <w:iCs w:val="0"/>
        </w:rPr>
        <w:t xml:space="preserve">, </w:t>
      </w:r>
      <w:r w:rsidRPr="005D4F50">
        <w:rPr>
          <w:rStyle w:val="SubtleEmphasis"/>
        </w:rPr>
        <w:t>San Francisco</w:t>
      </w:r>
    </w:p>
    <w:p w14:paraId="6ED2D9FE" w14:textId="6F4F1F42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Medically tailored meals (MTM) are meals approved by a Registered Dieti</w:t>
      </w:r>
      <w:r w:rsidR="00BD373D">
        <w:rPr>
          <w:rFonts w:ascii="Arial" w:hAnsi="Arial" w:cs="Arial"/>
          <w:sz w:val="20"/>
          <w:szCs w:val="20"/>
        </w:rPr>
        <w:t>t</w:t>
      </w:r>
      <w:r w:rsidRPr="0029449C">
        <w:rPr>
          <w:rFonts w:ascii="Arial" w:hAnsi="Arial" w:cs="Arial"/>
          <w:sz w:val="20"/>
          <w:szCs w:val="20"/>
        </w:rPr>
        <w:t>ian Nutritionist (RDN) that reflect appropriate dietary therapy based on evidence-based medicine.</w:t>
      </w:r>
    </w:p>
    <w:p w14:paraId="2A01EA0C" w14:textId="77777777" w:rsidR="0029449C" w:rsidRPr="0029449C" w:rsidRDefault="008F053B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</w:t>
      </w:r>
      <w:r w:rsidR="0029449C" w:rsidRPr="0029449C">
        <w:rPr>
          <w:rFonts w:ascii="Arial" w:hAnsi="Arial" w:cs="Arial"/>
          <w:sz w:val="20"/>
          <w:szCs w:val="20"/>
        </w:rPr>
        <w:t xml:space="preserve">andemic exposed how many </w:t>
      </w:r>
      <w:r>
        <w:rPr>
          <w:rFonts w:ascii="Arial" w:hAnsi="Arial" w:cs="Arial"/>
          <w:sz w:val="20"/>
          <w:szCs w:val="20"/>
        </w:rPr>
        <w:t xml:space="preserve">older </w:t>
      </w:r>
      <w:r w:rsidR="0029449C" w:rsidRPr="0029449C">
        <w:rPr>
          <w:rFonts w:ascii="Arial" w:hAnsi="Arial" w:cs="Arial"/>
          <w:sz w:val="20"/>
          <w:szCs w:val="20"/>
        </w:rPr>
        <w:t>adults are food insecure, especially those with complex health issues.</w:t>
      </w:r>
    </w:p>
    <w:p w14:paraId="267CA31B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Project Open Hand (POH)</w:t>
      </w:r>
    </w:p>
    <w:p w14:paraId="168A06FF" w14:textId="77777777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Started 35 years ago with the outbreak of HIV/AIDS.</w:t>
      </w:r>
    </w:p>
    <w:p w14:paraId="483B235A" w14:textId="77777777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Transitioned to serving others with complex health issues.</w:t>
      </w:r>
    </w:p>
    <w:p w14:paraId="1FC80ECF" w14:textId="77777777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Prepares approximately 1 million MTMs a year.</w:t>
      </w:r>
    </w:p>
    <w:p w14:paraId="14C95A96" w14:textId="3B8100AD" w:rsidR="0029449C" w:rsidRDefault="0029449C" w:rsidP="008179B5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 xml:space="preserve">Is a member of the national Food </w:t>
      </w:r>
      <w:proofErr w:type="gramStart"/>
      <w:r w:rsidRPr="0029449C">
        <w:rPr>
          <w:rFonts w:ascii="Arial" w:hAnsi="Arial" w:cs="Arial"/>
          <w:sz w:val="20"/>
          <w:szCs w:val="20"/>
        </w:rPr>
        <w:t>is</w:t>
      </w:r>
      <w:proofErr w:type="gramEnd"/>
      <w:r w:rsidRPr="0029449C">
        <w:rPr>
          <w:rFonts w:ascii="Arial" w:hAnsi="Arial" w:cs="Arial"/>
          <w:sz w:val="20"/>
          <w:szCs w:val="20"/>
        </w:rPr>
        <w:t xml:space="preserve"> Medicine (FIM) Coalition</w:t>
      </w:r>
      <w:r w:rsidR="008179B5">
        <w:rPr>
          <w:rFonts w:ascii="Arial" w:hAnsi="Arial" w:cs="Arial"/>
          <w:sz w:val="20"/>
          <w:szCs w:val="20"/>
        </w:rPr>
        <w:t xml:space="preserve"> and formed</w:t>
      </w:r>
      <w:r w:rsidRPr="008179B5">
        <w:rPr>
          <w:rFonts w:ascii="Arial" w:hAnsi="Arial" w:cs="Arial"/>
          <w:sz w:val="20"/>
          <w:szCs w:val="20"/>
        </w:rPr>
        <w:t xml:space="preserve"> the California FIM Coalition.</w:t>
      </w:r>
    </w:p>
    <w:p w14:paraId="0BA4DABA" w14:textId="77777777" w:rsidR="008179B5" w:rsidRPr="008179B5" w:rsidRDefault="008179B5" w:rsidP="008179B5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 on low-income patients with chronic and acute illnesses.</w:t>
      </w:r>
    </w:p>
    <w:p w14:paraId="4E67C7D1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POH emphasizes nutrition security, not just food security; need the right type of food depending on health condition.</w:t>
      </w:r>
    </w:p>
    <w:p w14:paraId="7E698A3E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POH works to advance the concept of screening for nutrition security.</w:t>
      </w:r>
    </w:p>
    <w:p w14:paraId="31E96D40" w14:textId="2E2F4804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Important to advance the science of MTMs</w:t>
      </w:r>
      <w:r w:rsidR="00B761A3">
        <w:rPr>
          <w:rFonts w:ascii="Arial" w:hAnsi="Arial" w:cs="Arial"/>
          <w:sz w:val="20"/>
          <w:szCs w:val="20"/>
        </w:rPr>
        <w:t>,</w:t>
      </w:r>
      <w:r w:rsidRPr="0029449C">
        <w:rPr>
          <w:rFonts w:ascii="Arial" w:hAnsi="Arial" w:cs="Arial"/>
          <w:sz w:val="20"/>
          <w:szCs w:val="20"/>
        </w:rPr>
        <w:t xml:space="preserve"> so </w:t>
      </w:r>
      <w:r w:rsidR="00B761A3">
        <w:rPr>
          <w:rFonts w:ascii="Arial" w:hAnsi="Arial" w:cs="Arial"/>
          <w:sz w:val="20"/>
          <w:szCs w:val="20"/>
        </w:rPr>
        <w:t>meals are covered by healthcare plans</w:t>
      </w:r>
      <w:r w:rsidRPr="0029449C">
        <w:rPr>
          <w:rFonts w:ascii="Arial" w:hAnsi="Arial" w:cs="Arial"/>
          <w:sz w:val="20"/>
          <w:szCs w:val="20"/>
        </w:rPr>
        <w:t>.</w:t>
      </w:r>
    </w:p>
    <w:p w14:paraId="63110C7C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POH is involved in a 4-year pilot program with the State of California to look at the benefits of providing MTMs to people with congestive heart failure.</w:t>
      </w:r>
    </w:p>
    <w:p w14:paraId="2018E1E4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 xml:space="preserve">POH collaborates with several health plans to provide MTMs. </w:t>
      </w:r>
    </w:p>
    <w:p w14:paraId="759EB06E" w14:textId="77777777" w:rsidR="004C7792" w:rsidRDefault="0029449C" w:rsidP="004C7792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 xml:space="preserve">Research shows the benefits of MTMs, including </w:t>
      </w:r>
      <w:r w:rsidR="00B761A3">
        <w:rPr>
          <w:rFonts w:ascii="Arial" w:hAnsi="Arial" w:cs="Arial"/>
          <w:sz w:val="20"/>
          <w:szCs w:val="20"/>
        </w:rPr>
        <w:t xml:space="preserve">a </w:t>
      </w:r>
      <w:r w:rsidRPr="0029449C">
        <w:rPr>
          <w:rFonts w:ascii="Arial" w:hAnsi="Arial" w:cs="Arial"/>
          <w:sz w:val="20"/>
          <w:szCs w:val="20"/>
        </w:rPr>
        <w:t>decline in healthcare costs, reduction in hospitalizations, and improvement in medication adherence.</w:t>
      </w:r>
    </w:p>
    <w:p w14:paraId="63E36C89" w14:textId="66EA9A2B" w:rsidR="0029449C" w:rsidRPr="004C7792" w:rsidRDefault="0029449C" w:rsidP="004C7792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4C7792">
        <w:rPr>
          <w:rFonts w:ascii="Arial" w:hAnsi="Arial" w:cs="Arial"/>
          <w:sz w:val="20"/>
          <w:szCs w:val="20"/>
        </w:rPr>
        <w:t>The strength of coalitions and partnerships is key and helps to enhance credibility and increase capacity</w:t>
      </w:r>
      <w:r w:rsidR="00253B87" w:rsidRPr="004C7792">
        <w:rPr>
          <w:rFonts w:ascii="Arial" w:hAnsi="Arial" w:cs="Arial"/>
          <w:sz w:val="20"/>
          <w:szCs w:val="20"/>
        </w:rPr>
        <w:t>.</w:t>
      </w:r>
      <w:r w:rsidR="004C7792" w:rsidRPr="004C7792">
        <w:rPr>
          <w:rFonts w:ascii="Arial" w:hAnsi="Arial" w:cs="Arial"/>
          <w:sz w:val="20"/>
          <w:szCs w:val="20"/>
        </w:rPr>
        <w:t xml:space="preserve"> For example, </w:t>
      </w:r>
      <w:r w:rsidRPr="004C7792">
        <w:rPr>
          <w:rFonts w:ascii="Arial" w:hAnsi="Arial" w:cs="Arial"/>
          <w:sz w:val="20"/>
          <w:szCs w:val="20"/>
        </w:rPr>
        <w:t>POH has an ACL grant to look at how to provide remote R</w:t>
      </w:r>
      <w:r w:rsidR="008179B5">
        <w:rPr>
          <w:rFonts w:ascii="Arial" w:hAnsi="Arial" w:cs="Arial"/>
          <w:sz w:val="20"/>
          <w:szCs w:val="20"/>
        </w:rPr>
        <w:t>DN</w:t>
      </w:r>
      <w:r w:rsidRPr="004C7792">
        <w:rPr>
          <w:rFonts w:ascii="Arial" w:hAnsi="Arial" w:cs="Arial"/>
          <w:sz w:val="20"/>
          <w:szCs w:val="20"/>
        </w:rPr>
        <w:t xml:space="preserve"> counseling and nutrition education outside of the San Francisco area.</w:t>
      </w:r>
    </w:p>
    <w:p w14:paraId="26C7B849" w14:textId="77777777" w:rsidR="0029449C" w:rsidRPr="0029449C" w:rsidRDefault="0029449C" w:rsidP="0029449C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Lessons learned:</w:t>
      </w:r>
    </w:p>
    <w:p w14:paraId="56F58D4D" w14:textId="77777777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Perseverance and partnerships pay off.</w:t>
      </w:r>
    </w:p>
    <w:p w14:paraId="253AB970" w14:textId="51293FDB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 xml:space="preserve">Visibility, credibility, and involvement in policy efforts </w:t>
      </w:r>
      <w:r w:rsidR="00B761A3">
        <w:rPr>
          <w:rFonts w:ascii="Arial" w:hAnsi="Arial" w:cs="Arial"/>
          <w:sz w:val="20"/>
          <w:szCs w:val="20"/>
        </w:rPr>
        <w:t>are</w:t>
      </w:r>
      <w:r w:rsidRPr="0029449C">
        <w:rPr>
          <w:rFonts w:ascii="Arial" w:hAnsi="Arial" w:cs="Arial"/>
          <w:sz w:val="20"/>
          <w:szCs w:val="20"/>
        </w:rPr>
        <w:t xml:space="preserve"> important.</w:t>
      </w:r>
    </w:p>
    <w:p w14:paraId="58E8B7D5" w14:textId="77777777" w:rsidR="0029449C" w:rsidRPr="0029449C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Dedication to nutrition security for all.</w:t>
      </w:r>
    </w:p>
    <w:p w14:paraId="72E13E6B" w14:textId="3683A567" w:rsidR="006838B6" w:rsidRPr="00AD6C8D" w:rsidRDefault="0029449C" w:rsidP="00AD6C8D">
      <w:pPr>
        <w:pStyle w:val="NoSpacing"/>
        <w:numPr>
          <w:ilvl w:val="1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29449C">
        <w:rPr>
          <w:rFonts w:ascii="Arial" w:hAnsi="Arial" w:cs="Arial"/>
          <w:sz w:val="20"/>
          <w:szCs w:val="20"/>
        </w:rPr>
        <w:t>Growing recognition of the importance of nutrition security</w:t>
      </w:r>
      <w:r w:rsidR="00B761A3">
        <w:rPr>
          <w:rFonts w:ascii="Arial" w:hAnsi="Arial" w:cs="Arial"/>
          <w:sz w:val="20"/>
          <w:szCs w:val="20"/>
        </w:rPr>
        <w:t>,</w:t>
      </w:r>
      <w:r w:rsidRPr="0029449C">
        <w:rPr>
          <w:rFonts w:ascii="Arial" w:hAnsi="Arial" w:cs="Arial"/>
          <w:sz w:val="20"/>
          <w:szCs w:val="20"/>
        </w:rPr>
        <w:t xml:space="preserve"> new challenges</w:t>
      </w:r>
      <w:r w:rsidR="00B761A3">
        <w:rPr>
          <w:rFonts w:ascii="Arial" w:hAnsi="Arial" w:cs="Arial"/>
          <w:sz w:val="20"/>
          <w:szCs w:val="20"/>
        </w:rPr>
        <w:t>,</w:t>
      </w:r>
      <w:r w:rsidRPr="0029449C">
        <w:rPr>
          <w:rFonts w:ascii="Arial" w:hAnsi="Arial" w:cs="Arial"/>
          <w:sz w:val="20"/>
          <w:szCs w:val="20"/>
        </w:rPr>
        <w:t xml:space="preserve"> and new opportunities in response to COVID.</w:t>
      </w:r>
    </w:p>
    <w:sectPr w:rsidR="006838B6" w:rsidRPr="00AD6C8D" w:rsidSect="00A77323">
      <w:footerReference w:type="default" r:id="rId17"/>
      <w:pgSz w:w="12240" w:h="15840"/>
      <w:pgMar w:top="1440" w:right="1440" w:bottom="1350" w:left="1440" w:header="720" w:footer="6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FF1E3" w14:textId="77777777" w:rsidR="005D1AC9" w:rsidRDefault="005D1AC9" w:rsidP="00B420CD">
      <w:pPr>
        <w:spacing w:after="0" w:line="240" w:lineRule="auto"/>
      </w:pPr>
      <w:r>
        <w:separator/>
      </w:r>
    </w:p>
  </w:endnote>
  <w:endnote w:type="continuationSeparator" w:id="0">
    <w:p w14:paraId="6A8F5FEA" w14:textId="77777777" w:rsidR="005D1AC9" w:rsidRDefault="005D1AC9" w:rsidP="00B4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27255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047639F" w14:textId="77777777" w:rsidR="00B420CD" w:rsidRPr="00077854" w:rsidRDefault="00B420CD" w:rsidP="00253C6C">
        <w:pPr>
          <w:pStyle w:val="Footer"/>
          <w:jc w:val="center"/>
          <w:rPr>
            <w:rFonts w:ascii="Arial" w:hAnsi="Arial" w:cs="Arial"/>
          </w:rPr>
        </w:pPr>
        <w:r w:rsidRPr="00077854">
          <w:rPr>
            <w:rFonts w:ascii="Arial" w:hAnsi="Arial" w:cs="Arial"/>
          </w:rPr>
          <w:fldChar w:fldCharType="begin"/>
        </w:r>
        <w:r w:rsidRPr="00077854">
          <w:rPr>
            <w:rFonts w:ascii="Arial" w:hAnsi="Arial" w:cs="Arial"/>
          </w:rPr>
          <w:instrText xml:space="preserve"> PAGE   \* MERGEFORMAT </w:instrText>
        </w:r>
        <w:r w:rsidRPr="00077854">
          <w:rPr>
            <w:rFonts w:ascii="Arial" w:hAnsi="Arial" w:cs="Arial"/>
          </w:rPr>
          <w:fldChar w:fldCharType="separate"/>
        </w:r>
        <w:r w:rsidR="00905CB0">
          <w:rPr>
            <w:rFonts w:ascii="Arial" w:hAnsi="Arial" w:cs="Arial"/>
            <w:noProof/>
          </w:rPr>
          <w:t>1</w:t>
        </w:r>
        <w:r w:rsidRPr="00077854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7791" w14:textId="77777777" w:rsidR="005D1AC9" w:rsidRDefault="005D1AC9" w:rsidP="00B420CD">
      <w:pPr>
        <w:spacing w:after="0" w:line="240" w:lineRule="auto"/>
      </w:pPr>
      <w:r>
        <w:separator/>
      </w:r>
    </w:p>
  </w:footnote>
  <w:footnote w:type="continuationSeparator" w:id="0">
    <w:p w14:paraId="2B88E758" w14:textId="77777777" w:rsidR="005D1AC9" w:rsidRDefault="005D1AC9" w:rsidP="00B42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62E18"/>
    <w:multiLevelType w:val="hybridMultilevel"/>
    <w:tmpl w:val="7BAAA002"/>
    <w:lvl w:ilvl="0" w:tplc="8B4660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0ECF"/>
    <w:multiLevelType w:val="hybridMultilevel"/>
    <w:tmpl w:val="527E1DCE"/>
    <w:lvl w:ilvl="0" w:tplc="73982C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035531"/>
    <w:multiLevelType w:val="hybridMultilevel"/>
    <w:tmpl w:val="EE98F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F41E6"/>
    <w:multiLevelType w:val="hybridMultilevel"/>
    <w:tmpl w:val="3150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470B"/>
    <w:multiLevelType w:val="hybridMultilevel"/>
    <w:tmpl w:val="819E0B52"/>
    <w:lvl w:ilvl="0" w:tplc="8B3C1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9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645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2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E4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5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60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B6F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2EF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82515"/>
    <w:multiLevelType w:val="hybridMultilevel"/>
    <w:tmpl w:val="BA084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66889"/>
    <w:multiLevelType w:val="hybridMultilevel"/>
    <w:tmpl w:val="2026D3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18B2F5C"/>
    <w:multiLevelType w:val="hybridMultilevel"/>
    <w:tmpl w:val="3D7A03B2"/>
    <w:lvl w:ilvl="0" w:tplc="09A8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C22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01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6EE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8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B28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826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C3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C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045C48"/>
    <w:multiLevelType w:val="hybridMultilevel"/>
    <w:tmpl w:val="F282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35723"/>
    <w:multiLevelType w:val="hybridMultilevel"/>
    <w:tmpl w:val="31247B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C209A"/>
    <w:multiLevelType w:val="hybridMultilevel"/>
    <w:tmpl w:val="A1723A46"/>
    <w:lvl w:ilvl="0" w:tplc="5BB839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2F3137"/>
    <w:multiLevelType w:val="hybridMultilevel"/>
    <w:tmpl w:val="8052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C0E09"/>
    <w:multiLevelType w:val="hybridMultilevel"/>
    <w:tmpl w:val="4358DDFA"/>
    <w:lvl w:ilvl="0" w:tplc="300EE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C16B7"/>
    <w:multiLevelType w:val="hybridMultilevel"/>
    <w:tmpl w:val="1F624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CE0985"/>
    <w:multiLevelType w:val="multilevel"/>
    <w:tmpl w:val="A342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37B07"/>
    <w:multiLevelType w:val="hybridMultilevel"/>
    <w:tmpl w:val="A912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C7D98"/>
    <w:multiLevelType w:val="hybridMultilevel"/>
    <w:tmpl w:val="EB3885A0"/>
    <w:lvl w:ilvl="0" w:tplc="CF9C0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C86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06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A2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F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C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A4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45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0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2D3424"/>
    <w:multiLevelType w:val="hybridMultilevel"/>
    <w:tmpl w:val="ED9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86474"/>
    <w:multiLevelType w:val="hybridMultilevel"/>
    <w:tmpl w:val="8BFCB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80DAC"/>
    <w:multiLevelType w:val="hybridMultilevel"/>
    <w:tmpl w:val="71F2E8F0"/>
    <w:lvl w:ilvl="0" w:tplc="FA32FD6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A1BAF"/>
    <w:multiLevelType w:val="hybridMultilevel"/>
    <w:tmpl w:val="8194A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90189"/>
    <w:multiLevelType w:val="hybridMultilevel"/>
    <w:tmpl w:val="B57CD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EC455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920D3"/>
    <w:multiLevelType w:val="hybridMultilevel"/>
    <w:tmpl w:val="497E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E562B"/>
    <w:multiLevelType w:val="hybridMultilevel"/>
    <w:tmpl w:val="DF60E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B41DA5"/>
    <w:multiLevelType w:val="hybridMultilevel"/>
    <w:tmpl w:val="ABF2E54E"/>
    <w:lvl w:ilvl="0" w:tplc="28803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404C61"/>
    <w:multiLevelType w:val="hybridMultilevel"/>
    <w:tmpl w:val="7302B714"/>
    <w:lvl w:ilvl="0" w:tplc="688C2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F371E7"/>
    <w:multiLevelType w:val="hybridMultilevel"/>
    <w:tmpl w:val="0E0A0B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F7BC5"/>
    <w:multiLevelType w:val="hybridMultilevel"/>
    <w:tmpl w:val="F7FC4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4778C"/>
    <w:multiLevelType w:val="hybridMultilevel"/>
    <w:tmpl w:val="13C0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D5330"/>
    <w:multiLevelType w:val="hybridMultilevel"/>
    <w:tmpl w:val="24AAD2B8"/>
    <w:lvl w:ilvl="0" w:tplc="9E86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CD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58F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2E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049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2B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67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C4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E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DD2A0E"/>
    <w:multiLevelType w:val="hybridMultilevel"/>
    <w:tmpl w:val="6CA0994A"/>
    <w:lvl w:ilvl="0" w:tplc="6DD4D7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E718C6"/>
    <w:multiLevelType w:val="hybridMultilevel"/>
    <w:tmpl w:val="B106C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5142"/>
    <w:multiLevelType w:val="hybridMultilevel"/>
    <w:tmpl w:val="29A068D0"/>
    <w:lvl w:ilvl="0" w:tplc="7F3A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1A6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94D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C2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60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87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6B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D5A4C03"/>
    <w:multiLevelType w:val="hybridMultilevel"/>
    <w:tmpl w:val="CB3653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3"/>
  </w:num>
  <w:num w:numId="4">
    <w:abstractNumId w:val="20"/>
  </w:num>
  <w:num w:numId="5">
    <w:abstractNumId w:val="22"/>
  </w:num>
  <w:num w:numId="6">
    <w:abstractNumId w:val="26"/>
  </w:num>
  <w:num w:numId="7">
    <w:abstractNumId w:val="31"/>
  </w:num>
  <w:num w:numId="8">
    <w:abstractNumId w:val="12"/>
  </w:num>
  <w:num w:numId="9">
    <w:abstractNumId w:val="0"/>
  </w:num>
  <w:num w:numId="10">
    <w:abstractNumId w:val="1"/>
  </w:num>
  <w:num w:numId="11">
    <w:abstractNumId w:val="10"/>
  </w:num>
  <w:num w:numId="12">
    <w:abstractNumId w:val="30"/>
  </w:num>
  <w:num w:numId="13">
    <w:abstractNumId w:val="25"/>
  </w:num>
  <w:num w:numId="14">
    <w:abstractNumId w:val="24"/>
  </w:num>
  <w:num w:numId="15">
    <w:abstractNumId w:val="19"/>
  </w:num>
  <w:num w:numId="16">
    <w:abstractNumId w:val="21"/>
  </w:num>
  <w:num w:numId="17">
    <w:abstractNumId w:val="8"/>
  </w:num>
  <w:num w:numId="18">
    <w:abstractNumId w:val="11"/>
  </w:num>
  <w:num w:numId="19">
    <w:abstractNumId w:val="18"/>
  </w:num>
  <w:num w:numId="20">
    <w:abstractNumId w:val="3"/>
  </w:num>
  <w:num w:numId="21">
    <w:abstractNumId w:val="4"/>
  </w:num>
  <w:num w:numId="22">
    <w:abstractNumId w:val="32"/>
  </w:num>
  <w:num w:numId="23">
    <w:abstractNumId w:val="15"/>
  </w:num>
  <w:num w:numId="24">
    <w:abstractNumId w:val="16"/>
  </w:num>
  <w:num w:numId="25">
    <w:abstractNumId w:val="29"/>
  </w:num>
  <w:num w:numId="26">
    <w:abstractNumId w:val="27"/>
  </w:num>
  <w:num w:numId="27">
    <w:abstractNumId w:val="7"/>
  </w:num>
  <w:num w:numId="28">
    <w:abstractNumId w:val="6"/>
  </w:num>
  <w:num w:numId="29">
    <w:abstractNumId w:val="9"/>
  </w:num>
  <w:num w:numId="30">
    <w:abstractNumId w:val="33"/>
  </w:num>
  <w:num w:numId="31">
    <w:abstractNumId w:val="5"/>
  </w:num>
  <w:num w:numId="32">
    <w:abstractNumId w:val="28"/>
  </w:num>
  <w:num w:numId="33">
    <w:abstractNumId w:val="1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3CB"/>
    <w:rsid w:val="00013278"/>
    <w:rsid w:val="00032855"/>
    <w:rsid w:val="000429B1"/>
    <w:rsid w:val="00045F8F"/>
    <w:rsid w:val="00057689"/>
    <w:rsid w:val="00065A59"/>
    <w:rsid w:val="0007710F"/>
    <w:rsid w:val="00077854"/>
    <w:rsid w:val="00080506"/>
    <w:rsid w:val="0008105B"/>
    <w:rsid w:val="00083819"/>
    <w:rsid w:val="000C056D"/>
    <w:rsid w:val="000D2E39"/>
    <w:rsid w:val="000F2318"/>
    <w:rsid w:val="00110DE6"/>
    <w:rsid w:val="00141B8C"/>
    <w:rsid w:val="0017646A"/>
    <w:rsid w:val="0017720E"/>
    <w:rsid w:val="00196EE0"/>
    <w:rsid w:val="001A1B93"/>
    <w:rsid w:val="001A344B"/>
    <w:rsid w:val="001C4F39"/>
    <w:rsid w:val="001C5EA8"/>
    <w:rsid w:val="001D094E"/>
    <w:rsid w:val="001D49C8"/>
    <w:rsid w:val="001E301D"/>
    <w:rsid w:val="001E6181"/>
    <w:rsid w:val="00211A10"/>
    <w:rsid w:val="00214DF0"/>
    <w:rsid w:val="002206C4"/>
    <w:rsid w:val="002239AE"/>
    <w:rsid w:val="00227EC3"/>
    <w:rsid w:val="00234A39"/>
    <w:rsid w:val="002466E6"/>
    <w:rsid w:val="00246DB8"/>
    <w:rsid w:val="00253B87"/>
    <w:rsid w:val="00253C6C"/>
    <w:rsid w:val="00254341"/>
    <w:rsid w:val="00271509"/>
    <w:rsid w:val="00277A48"/>
    <w:rsid w:val="00277CA4"/>
    <w:rsid w:val="0028120B"/>
    <w:rsid w:val="002826C6"/>
    <w:rsid w:val="0029449C"/>
    <w:rsid w:val="002B145A"/>
    <w:rsid w:val="002C2545"/>
    <w:rsid w:val="002C748C"/>
    <w:rsid w:val="002D68C3"/>
    <w:rsid w:val="002E7C63"/>
    <w:rsid w:val="002F4CF8"/>
    <w:rsid w:val="00303E84"/>
    <w:rsid w:val="00304892"/>
    <w:rsid w:val="0031178B"/>
    <w:rsid w:val="00323D62"/>
    <w:rsid w:val="00330C56"/>
    <w:rsid w:val="003347DE"/>
    <w:rsid w:val="0034546B"/>
    <w:rsid w:val="003806CC"/>
    <w:rsid w:val="00387F00"/>
    <w:rsid w:val="00396204"/>
    <w:rsid w:val="003A669D"/>
    <w:rsid w:val="003C7CA9"/>
    <w:rsid w:val="003D2C11"/>
    <w:rsid w:val="003E329F"/>
    <w:rsid w:val="003E77C4"/>
    <w:rsid w:val="003F47B1"/>
    <w:rsid w:val="003F6B57"/>
    <w:rsid w:val="00420C30"/>
    <w:rsid w:val="0042647D"/>
    <w:rsid w:val="00433CDE"/>
    <w:rsid w:val="00436F0F"/>
    <w:rsid w:val="00457101"/>
    <w:rsid w:val="0048083F"/>
    <w:rsid w:val="004918EF"/>
    <w:rsid w:val="004A1E85"/>
    <w:rsid w:val="004A2E0E"/>
    <w:rsid w:val="004B2412"/>
    <w:rsid w:val="004C182C"/>
    <w:rsid w:val="004C7792"/>
    <w:rsid w:val="004D5C77"/>
    <w:rsid w:val="004E7843"/>
    <w:rsid w:val="004F4880"/>
    <w:rsid w:val="00505712"/>
    <w:rsid w:val="00510220"/>
    <w:rsid w:val="0052531C"/>
    <w:rsid w:val="00532369"/>
    <w:rsid w:val="00533ABF"/>
    <w:rsid w:val="0054057C"/>
    <w:rsid w:val="005448B3"/>
    <w:rsid w:val="00546906"/>
    <w:rsid w:val="00562129"/>
    <w:rsid w:val="005A2F8C"/>
    <w:rsid w:val="005C341B"/>
    <w:rsid w:val="005C62F3"/>
    <w:rsid w:val="005C6311"/>
    <w:rsid w:val="005D1AC9"/>
    <w:rsid w:val="005D4F50"/>
    <w:rsid w:val="005D7E2D"/>
    <w:rsid w:val="005E1E1F"/>
    <w:rsid w:val="005E4F59"/>
    <w:rsid w:val="005F3415"/>
    <w:rsid w:val="005F792C"/>
    <w:rsid w:val="005F7E0A"/>
    <w:rsid w:val="0060256D"/>
    <w:rsid w:val="00603D77"/>
    <w:rsid w:val="006044E3"/>
    <w:rsid w:val="00613A68"/>
    <w:rsid w:val="00614017"/>
    <w:rsid w:val="00621D5F"/>
    <w:rsid w:val="006330C8"/>
    <w:rsid w:val="00643DE7"/>
    <w:rsid w:val="00666C90"/>
    <w:rsid w:val="006703BB"/>
    <w:rsid w:val="00674628"/>
    <w:rsid w:val="006838B6"/>
    <w:rsid w:val="00693012"/>
    <w:rsid w:val="00695449"/>
    <w:rsid w:val="006A325A"/>
    <w:rsid w:val="006A7108"/>
    <w:rsid w:val="006B64D3"/>
    <w:rsid w:val="006F0ECC"/>
    <w:rsid w:val="006F363F"/>
    <w:rsid w:val="00704997"/>
    <w:rsid w:val="00706C6D"/>
    <w:rsid w:val="0070787E"/>
    <w:rsid w:val="007113CB"/>
    <w:rsid w:val="00720207"/>
    <w:rsid w:val="00733A6F"/>
    <w:rsid w:val="00752689"/>
    <w:rsid w:val="00753C17"/>
    <w:rsid w:val="0076610D"/>
    <w:rsid w:val="00787F8A"/>
    <w:rsid w:val="00791AE2"/>
    <w:rsid w:val="00792005"/>
    <w:rsid w:val="007B22B7"/>
    <w:rsid w:val="007B239D"/>
    <w:rsid w:val="007B2B8F"/>
    <w:rsid w:val="007B4BEA"/>
    <w:rsid w:val="007C0774"/>
    <w:rsid w:val="007D552F"/>
    <w:rsid w:val="008179B5"/>
    <w:rsid w:val="00817EFE"/>
    <w:rsid w:val="00823D0F"/>
    <w:rsid w:val="00843782"/>
    <w:rsid w:val="008470A8"/>
    <w:rsid w:val="00847B6C"/>
    <w:rsid w:val="00850F9A"/>
    <w:rsid w:val="00863FF6"/>
    <w:rsid w:val="00864573"/>
    <w:rsid w:val="00874CC3"/>
    <w:rsid w:val="00875D56"/>
    <w:rsid w:val="00877AF0"/>
    <w:rsid w:val="00891B98"/>
    <w:rsid w:val="008B68E3"/>
    <w:rsid w:val="008C0550"/>
    <w:rsid w:val="008C0FA1"/>
    <w:rsid w:val="008D37CA"/>
    <w:rsid w:val="008E2C94"/>
    <w:rsid w:val="008F053B"/>
    <w:rsid w:val="008F187E"/>
    <w:rsid w:val="00905CB0"/>
    <w:rsid w:val="00933597"/>
    <w:rsid w:val="00945EFB"/>
    <w:rsid w:val="0096166C"/>
    <w:rsid w:val="00974C72"/>
    <w:rsid w:val="009830EE"/>
    <w:rsid w:val="009908DC"/>
    <w:rsid w:val="009B0D55"/>
    <w:rsid w:val="009D1982"/>
    <w:rsid w:val="009F6297"/>
    <w:rsid w:val="009F7DB7"/>
    <w:rsid w:val="00A10F84"/>
    <w:rsid w:val="00A151F4"/>
    <w:rsid w:val="00A259DB"/>
    <w:rsid w:val="00A26FAA"/>
    <w:rsid w:val="00A77323"/>
    <w:rsid w:val="00A91730"/>
    <w:rsid w:val="00AA75E8"/>
    <w:rsid w:val="00AB2AC7"/>
    <w:rsid w:val="00AB4867"/>
    <w:rsid w:val="00AB74A5"/>
    <w:rsid w:val="00AD6062"/>
    <w:rsid w:val="00AD6C8D"/>
    <w:rsid w:val="00AE500B"/>
    <w:rsid w:val="00AE595B"/>
    <w:rsid w:val="00B04240"/>
    <w:rsid w:val="00B10290"/>
    <w:rsid w:val="00B14065"/>
    <w:rsid w:val="00B26457"/>
    <w:rsid w:val="00B27B67"/>
    <w:rsid w:val="00B420CD"/>
    <w:rsid w:val="00B43081"/>
    <w:rsid w:val="00B573BE"/>
    <w:rsid w:val="00B57699"/>
    <w:rsid w:val="00B761A3"/>
    <w:rsid w:val="00B93C6B"/>
    <w:rsid w:val="00B954E8"/>
    <w:rsid w:val="00B957FD"/>
    <w:rsid w:val="00B95ABD"/>
    <w:rsid w:val="00B9643C"/>
    <w:rsid w:val="00BC2D09"/>
    <w:rsid w:val="00BD373D"/>
    <w:rsid w:val="00BE5DF3"/>
    <w:rsid w:val="00C01BD8"/>
    <w:rsid w:val="00C0248A"/>
    <w:rsid w:val="00C04026"/>
    <w:rsid w:val="00C10427"/>
    <w:rsid w:val="00C111DA"/>
    <w:rsid w:val="00C25F3A"/>
    <w:rsid w:val="00C26DD6"/>
    <w:rsid w:val="00C6526B"/>
    <w:rsid w:val="00C752D7"/>
    <w:rsid w:val="00C76BAA"/>
    <w:rsid w:val="00C779C4"/>
    <w:rsid w:val="00C87A4E"/>
    <w:rsid w:val="00C94540"/>
    <w:rsid w:val="00C97782"/>
    <w:rsid w:val="00CB27FC"/>
    <w:rsid w:val="00CB7F96"/>
    <w:rsid w:val="00CC5872"/>
    <w:rsid w:val="00CC607E"/>
    <w:rsid w:val="00CD1D13"/>
    <w:rsid w:val="00CD6EBE"/>
    <w:rsid w:val="00CF4021"/>
    <w:rsid w:val="00CF458B"/>
    <w:rsid w:val="00CF7A9C"/>
    <w:rsid w:val="00D10BC3"/>
    <w:rsid w:val="00D26ACE"/>
    <w:rsid w:val="00D3444D"/>
    <w:rsid w:val="00D40603"/>
    <w:rsid w:val="00D43F7E"/>
    <w:rsid w:val="00D44E03"/>
    <w:rsid w:val="00D577F6"/>
    <w:rsid w:val="00D66F85"/>
    <w:rsid w:val="00D741DB"/>
    <w:rsid w:val="00D86614"/>
    <w:rsid w:val="00D91CFF"/>
    <w:rsid w:val="00D97F68"/>
    <w:rsid w:val="00DC3205"/>
    <w:rsid w:val="00DD05B7"/>
    <w:rsid w:val="00DD74A8"/>
    <w:rsid w:val="00DD78C2"/>
    <w:rsid w:val="00DF6BFD"/>
    <w:rsid w:val="00E07807"/>
    <w:rsid w:val="00E111DD"/>
    <w:rsid w:val="00E20F70"/>
    <w:rsid w:val="00E25281"/>
    <w:rsid w:val="00E302E0"/>
    <w:rsid w:val="00E33D44"/>
    <w:rsid w:val="00E454CC"/>
    <w:rsid w:val="00E74D61"/>
    <w:rsid w:val="00E76527"/>
    <w:rsid w:val="00E94E11"/>
    <w:rsid w:val="00EA3D51"/>
    <w:rsid w:val="00EA409B"/>
    <w:rsid w:val="00EA493F"/>
    <w:rsid w:val="00EB48F9"/>
    <w:rsid w:val="00EC235B"/>
    <w:rsid w:val="00ED726E"/>
    <w:rsid w:val="00F015B7"/>
    <w:rsid w:val="00F07F8B"/>
    <w:rsid w:val="00F105D4"/>
    <w:rsid w:val="00F25C38"/>
    <w:rsid w:val="00F302AB"/>
    <w:rsid w:val="00F90090"/>
    <w:rsid w:val="00F922E9"/>
    <w:rsid w:val="00FA57FA"/>
    <w:rsid w:val="00FD05F6"/>
    <w:rsid w:val="00FD2411"/>
    <w:rsid w:val="00FD3F08"/>
    <w:rsid w:val="00FE4F31"/>
    <w:rsid w:val="00FE7B2A"/>
    <w:rsid w:val="00FF5F8A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8CA896"/>
  <w15:chartTrackingRefBased/>
  <w15:docId w15:val="{0AD962ED-5CF7-4E63-BA4B-CD19EAE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178B"/>
    <w:pPr>
      <w:keepNext/>
      <w:keepLines/>
      <w:spacing w:before="240" w:after="60"/>
      <w:outlineLvl w:val="0"/>
    </w:pPr>
    <w:rPr>
      <w:rFonts w:ascii="Arial" w:eastAsiaTheme="majorEastAsia" w:hAnsi="Arial" w:cs="Arial"/>
      <w:b/>
      <w:bCs/>
      <w:color w:val="1F3864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6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4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4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97F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F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F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37C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7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F0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7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0774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7C0774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1178B"/>
    <w:rPr>
      <w:rFonts w:ascii="Arial" w:eastAsiaTheme="majorEastAsia" w:hAnsi="Arial" w:cs="Arial"/>
      <w:b/>
      <w:bCs/>
      <w:color w:val="1F3864" w:themeColor="accent5" w:themeShade="80"/>
    </w:rPr>
  </w:style>
  <w:style w:type="paragraph" w:styleId="NoSpacing">
    <w:name w:val="No Spacing"/>
    <w:uiPriority w:val="1"/>
    <w:qFormat/>
    <w:rsid w:val="00B420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CD"/>
  </w:style>
  <w:style w:type="paragraph" w:styleId="Footer">
    <w:name w:val="footer"/>
    <w:basedOn w:val="Normal"/>
    <w:link w:val="FooterChar"/>
    <w:uiPriority w:val="99"/>
    <w:unhideWhenUsed/>
    <w:rsid w:val="00B42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CD"/>
  </w:style>
  <w:style w:type="paragraph" w:styleId="NormalWeb">
    <w:name w:val="Normal (Web)"/>
    <w:basedOn w:val="Normal"/>
    <w:uiPriority w:val="99"/>
    <w:unhideWhenUsed/>
    <w:rsid w:val="00E2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44E3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31178B"/>
    <w:rPr>
      <w:rFonts w:ascii="Arial" w:hAnsi="Arial" w:cs="Arial"/>
      <w:i/>
      <w:iCs/>
      <w:color w:val="auto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6492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3640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04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71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277">
          <w:marLeft w:val="36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2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1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239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l.gov/sites/default/files/programs/Senior_Nutrition/MD_MalnutritionToolkit_508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SeniorNutritio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hand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efeatmalnutrition.toda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waar.org/elderly-nutrition-program-for-seni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A6CB49-83E2-E84F-9F03-C6BC5A0850B6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E7233C-1BBF-47AB-8FD4-D1A84CCB4673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2.xml><?xml version="1.0" encoding="utf-8"?>
<ds:datastoreItem xmlns:ds="http://schemas.openxmlformats.org/officeDocument/2006/customXml" ds:itemID="{9E5F1CA2-726B-4C04-822B-DB2F6206D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93A2E-3D73-4428-99C1-7998FE2AB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7B7E6E-562A-414A-AA13-1FDC740AD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Lipperini, Keri (ACL);Adminstration for Community Living</dc:creator>
  <cp:keywords/>
  <dc:description/>
  <cp:lastModifiedBy>Nora Lindner</cp:lastModifiedBy>
  <cp:revision>3</cp:revision>
  <cp:lastPrinted>2021-03-31T13:39:00Z</cp:lastPrinted>
  <dcterms:created xsi:type="dcterms:W3CDTF">2021-04-12T12:03:00Z</dcterms:created>
  <dcterms:modified xsi:type="dcterms:W3CDTF">2021-04-13T13:02:00Z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  <property fmtid="{D5CDD505-2E9C-101B-9397-08002B2CF9AE}" pid="3" name="grammarly_documentId">
    <vt:lpwstr>documentId_5158</vt:lpwstr>
  </property>
  <property fmtid="{D5CDD505-2E9C-101B-9397-08002B2CF9AE}" pid="4" name="grammarly_documentContext">
    <vt:lpwstr>{"goals":[],"domain":"general","emotions":[],"dialect":"american"}</vt:lpwstr>
  </property>
</Properties>
</file>